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5FD0" w14:textId="77777777" w:rsidR="00471DF9" w:rsidRPr="00471DF9" w:rsidRDefault="00471DF9" w:rsidP="00471DF9">
      <w:pPr>
        <w:spacing w:before="100" w:beforeAutospacing="1" w:after="100" w:afterAutospacing="1" w:line="240" w:lineRule="auto"/>
        <w:rPr>
          <w:rFonts w:ascii="Helvetica" w:eastAsia="Times New Roman" w:hAnsi="Helvetica" w:cs="Helvetica"/>
          <w:color w:val="000000"/>
          <w:sz w:val="24"/>
          <w:szCs w:val="24"/>
          <w:lang w:eastAsia="en-GB"/>
        </w:rPr>
      </w:pPr>
      <w:bookmarkStart w:id="0" w:name="_GoBack"/>
      <w:bookmarkEnd w:id="0"/>
      <w:r w:rsidRPr="00471DF9">
        <w:rPr>
          <w:rFonts w:ascii="Helvetica" w:eastAsia="Times New Roman" w:hAnsi="Helvetica" w:cs="Helvetica"/>
          <w:color w:val="000000"/>
          <w:sz w:val="24"/>
          <w:szCs w:val="24"/>
          <w:lang w:eastAsia="en-GB"/>
        </w:rPr>
        <w:t>The </w:t>
      </w:r>
      <w:hyperlink r:id="rId5" w:tgtFrame="_blank" w:history="1">
        <w:r w:rsidRPr="00471DF9">
          <w:rPr>
            <w:rFonts w:ascii="Helvetica" w:eastAsia="Times New Roman" w:hAnsi="Helvetica" w:cs="Helvetica"/>
            <w:color w:val="064D88"/>
            <w:sz w:val="24"/>
            <w:szCs w:val="24"/>
            <w:lang w:eastAsia="en-GB"/>
          </w:rPr>
          <w:t>Town and Country Planning (Use Classes) Order 1987</w:t>
        </w:r>
      </w:hyperlink>
      <w:r w:rsidRPr="00471DF9">
        <w:rPr>
          <w:rFonts w:ascii="Helvetica" w:eastAsia="Times New Roman" w:hAnsi="Helvetica" w:cs="Helvetica"/>
          <w:color w:val="000000"/>
          <w:sz w:val="24"/>
          <w:szCs w:val="24"/>
          <w:lang w:eastAsia="en-GB"/>
        </w:rPr>
        <w:t> (as amended) puts uses of land and buildings into various categories known as 'Use Classes'. This Order is periodically amended, </w:t>
      </w:r>
      <w:hyperlink r:id="rId6" w:tgtFrame="_blank" w:history="1">
        <w:r w:rsidRPr="00471DF9">
          <w:rPr>
            <w:rFonts w:ascii="Helvetica" w:eastAsia="Times New Roman" w:hAnsi="Helvetica" w:cs="Helvetica"/>
            <w:color w:val="064D88"/>
            <w:sz w:val="24"/>
            <w:szCs w:val="24"/>
            <w:lang w:eastAsia="en-GB"/>
          </w:rPr>
          <w:t>view details of the amendments</w:t>
        </w:r>
      </w:hyperlink>
      <w:r w:rsidRPr="00471DF9">
        <w:rPr>
          <w:rFonts w:ascii="Helvetica" w:eastAsia="Times New Roman" w:hAnsi="Helvetica" w:cs="Helvetica"/>
          <w:color w:val="000000"/>
          <w:sz w:val="24"/>
          <w:szCs w:val="24"/>
          <w:lang w:eastAsia="en-GB"/>
        </w:rPr>
        <w:t>.</w:t>
      </w:r>
    </w:p>
    <w:p w14:paraId="4E3880D5" w14:textId="77777777" w:rsidR="00471DF9" w:rsidRPr="00471DF9" w:rsidRDefault="00471DF9" w:rsidP="00471DF9">
      <w:p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It is generally the case that you will need planning permission to change from one use class to another, although there are exceptions where the legislation does allow some changes between uses.</w:t>
      </w:r>
    </w:p>
    <w:p w14:paraId="68B35626" w14:textId="77777777" w:rsidR="00471DF9" w:rsidRPr="00471DF9" w:rsidRDefault="00471DF9" w:rsidP="00471DF9">
      <w:p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For example, A3 uses can change to A1 uses without the need for planning permission. However, if you are proposing to change the use of a premises or land, you should always seek advice from the local planning authority to confirm whether planning permission is required or not.</w:t>
      </w:r>
    </w:p>
    <w:p w14:paraId="42FCE9CA" w14:textId="77777777" w:rsidR="00471DF9" w:rsidRPr="00471DF9" w:rsidRDefault="00471DF9" w:rsidP="00471DF9">
      <w:p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The following list gives an indication of the types of use which may fall within each use class. Please note that this is a guide only and it is for local planning authorities to determine, in the first instance, depending on the individual circumstances of each case, which use class a particular use falls into.</w:t>
      </w:r>
    </w:p>
    <w:p w14:paraId="7BA1B921" w14:textId="77777777" w:rsidR="00471DF9" w:rsidRPr="00471DF9" w:rsidRDefault="00471DF9" w:rsidP="00471DF9">
      <w:pPr>
        <w:spacing w:after="0" w:line="240" w:lineRule="auto"/>
        <w:outlineLvl w:val="2"/>
        <w:rPr>
          <w:rFonts w:ascii="Helvetica" w:eastAsia="Times New Roman" w:hAnsi="Helvetica" w:cs="Helvetica"/>
          <w:color w:val="002639"/>
          <w:sz w:val="27"/>
          <w:szCs w:val="27"/>
          <w:lang w:eastAsia="en-GB"/>
        </w:rPr>
      </w:pPr>
      <w:r w:rsidRPr="00471DF9">
        <w:rPr>
          <w:rFonts w:ascii="Helvetica" w:eastAsia="Times New Roman" w:hAnsi="Helvetica" w:cs="Helvetica"/>
          <w:color w:val="002639"/>
          <w:sz w:val="27"/>
          <w:szCs w:val="27"/>
          <w:lang w:eastAsia="en-GB"/>
        </w:rPr>
        <w:t>Part A</w:t>
      </w:r>
    </w:p>
    <w:p w14:paraId="06482386" w14:textId="77777777" w:rsidR="00471DF9" w:rsidRPr="00471DF9" w:rsidRDefault="00471DF9" w:rsidP="00471DF9">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A1 Shops -</w:t>
      </w:r>
      <w:r w:rsidRPr="00471DF9">
        <w:rPr>
          <w:rFonts w:ascii="Helvetica" w:eastAsia="Times New Roman" w:hAnsi="Helvetica" w:cs="Helvetica"/>
          <w:color w:val="000000"/>
          <w:sz w:val="24"/>
          <w:szCs w:val="24"/>
          <w:lang w:eastAsia="en-GB"/>
        </w:rPr>
        <w:t> Shops, retail warehouses, hairdressers, undertakers, travel and ticket agencies, post offices, pet shops, sandwich bars, showrooms, domestic hire shops, dry cleaners, funeral directors and internet cafes.</w:t>
      </w:r>
    </w:p>
    <w:p w14:paraId="18877AF6" w14:textId="77777777" w:rsidR="00471DF9" w:rsidRPr="00471DF9" w:rsidRDefault="00471DF9" w:rsidP="00471DF9">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A2 Financial and professional services -</w:t>
      </w:r>
      <w:r w:rsidRPr="00471DF9">
        <w:rPr>
          <w:rFonts w:ascii="Helvetica" w:eastAsia="Times New Roman" w:hAnsi="Helvetica" w:cs="Helvetica"/>
          <w:color w:val="000000"/>
          <w:sz w:val="24"/>
          <w:szCs w:val="24"/>
          <w:lang w:eastAsia="en-GB"/>
        </w:rPr>
        <w:t> Financial services such as banks and building societies, professional services (other than health and medical services) and including estate and employment agencies. It does not include betting offices or pay day loan shops - these are now classed as “sui generis” uses (see below).</w:t>
      </w:r>
    </w:p>
    <w:p w14:paraId="2084FA73" w14:textId="77777777" w:rsidR="00471DF9" w:rsidRPr="00471DF9" w:rsidRDefault="00471DF9" w:rsidP="00471DF9">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A3 Restaurants and cafés -</w:t>
      </w:r>
      <w:r w:rsidRPr="00471DF9">
        <w:rPr>
          <w:rFonts w:ascii="Helvetica" w:eastAsia="Times New Roman" w:hAnsi="Helvetica" w:cs="Helvetica"/>
          <w:color w:val="000000"/>
          <w:sz w:val="24"/>
          <w:szCs w:val="24"/>
          <w:lang w:eastAsia="en-GB"/>
        </w:rPr>
        <w:t> For the sale of food and drink for consumption on the premises - restaurants, snack bars and cafes.</w:t>
      </w:r>
    </w:p>
    <w:p w14:paraId="2888C168" w14:textId="77777777" w:rsidR="00471DF9" w:rsidRPr="00471DF9" w:rsidRDefault="00471DF9" w:rsidP="00471DF9">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A4 Drinking establishments -</w:t>
      </w:r>
      <w:r w:rsidRPr="00471DF9">
        <w:rPr>
          <w:rFonts w:ascii="Helvetica" w:eastAsia="Times New Roman" w:hAnsi="Helvetica" w:cs="Helvetica"/>
          <w:color w:val="000000"/>
          <w:sz w:val="24"/>
          <w:szCs w:val="24"/>
          <w:lang w:eastAsia="en-GB"/>
        </w:rPr>
        <w:t xml:space="preserve"> Public houses, wine bars or other drinking establishments (but not night clubs) including drinking establishments with </w:t>
      </w:r>
      <w:proofErr w:type="spellStart"/>
      <w:r w:rsidRPr="00471DF9">
        <w:rPr>
          <w:rFonts w:ascii="Helvetica" w:eastAsia="Times New Roman" w:hAnsi="Helvetica" w:cs="Helvetica"/>
          <w:color w:val="000000"/>
          <w:sz w:val="24"/>
          <w:szCs w:val="24"/>
          <w:lang w:eastAsia="en-GB"/>
        </w:rPr>
        <w:t>exapnded</w:t>
      </w:r>
      <w:proofErr w:type="spellEnd"/>
      <w:r w:rsidRPr="00471DF9">
        <w:rPr>
          <w:rFonts w:ascii="Helvetica" w:eastAsia="Times New Roman" w:hAnsi="Helvetica" w:cs="Helvetica"/>
          <w:color w:val="000000"/>
          <w:sz w:val="24"/>
          <w:szCs w:val="24"/>
          <w:lang w:eastAsia="en-GB"/>
        </w:rPr>
        <w:t xml:space="preserve"> food provision.</w:t>
      </w:r>
    </w:p>
    <w:p w14:paraId="21706C07" w14:textId="77777777" w:rsidR="00471DF9" w:rsidRPr="00471DF9" w:rsidRDefault="00471DF9" w:rsidP="00471DF9">
      <w:pPr>
        <w:numPr>
          <w:ilvl w:val="0"/>
          <w:numId w:val="1"/>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A5 Hot food takeaways -</w:t>
      </w:r>
      <w:r w:rsidRPr="00471DF9">
        <w:rPr>
          <w:rFonts w:ascii="Helvetica" w:eastAsia="Times New Roman" w:hAnsi="Helvetica" w:cs="Helvetica"/>
          <w:color w:val="000000"/>
          <w:sz w:val="24"/>
          <w:szCs w:val="24"/>
          <w:lang w:eastAsia="en-GB"/>
        </w:rPr>
        <w:t> For the sale of hot food for consumption off the premises</w:t>
      </w:r>
    </w:p>
    <w:p w14:paraId="70ED19B0" w14:textId="77777777" w:rsidR="00471DF9" w:rsidRPr="00471DF9" w:rsidRDefault="00471DF9" w:rsidP="00471DF9">
      <w:pPr>
        <w:spacing w:after="0" w:line="240" w:lineRule="auto"/>
        <w:outlineLvl w:val="2"/>
        <w:rPr>
          <w:rFonts w:ascii="Helvetica" w:eastAsia="Times New Roman" w:hAnsi="Helvetica" w:cs="Helvetica"/>
          <w:color w:val="002639"/>
          <w:sz w:val="27"/>
          <w:szCs w:val="27"/>
          <w:lang w:eastAsia="en-GB"/>
        </w:rPr>
      </w:pPr>
      <w:r w:rsidRPr="00471DF9">
        <w:rPr>
          <w:rFonts w:ascii="Helvetica" w:eastAsia="Times New Roman" w:hAnsi="Helvetica" w:cs="Helvetica"/>
          <w:color w:val="002639"/>
          <w:sz w:val="27"/>
          <w:szCs w:val="27"/>
          <w:lang w:eastAsia="en-GB"/>
        </w:rPr>
        <w:t>Part B</w:t>
      </w:r>
    </w:p>
    <w:p w14:paraId="52FF6A46" w14:textId="77777777" w:rsidR="00471DF9" w:rsidRPr="00471DF9" w:rsidRDefault="00471DF9" w:rsidP="00471DF9">
      <w:pPr>
        <w:numPr>
          <w:ilvl w:val="0"/>
          <w:numId w:val="2"/>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B1 Business -</w:t>
      </w:r>
      <w:r w:rsidRPr="00471DF9">
        <w:rPr>
          <w:rFonts w:ascii="Helvetica" w:eastAsia="Times New Roman" w:hAnsi="Helvetica" w:cs="Helvetica"/>
          <w:color w:val="000000"/>
          <w:sz w:val="24"/>
          <w:szCs w:val="24"/>
          <w:lang w:eastAsia="en-GB"/>
        </w:rPr>
        <w:t> Offices (other than those that fall within A2), research and development of products and processes, light industry appropriate in a residential area.</w:t>
      </w:r>
    </w:p>
    <w:p w14:paraId="2B9CEAA7" w14:textId="77777777" w:rsidR="00471DF9" w:rsidRPr="00471DF9" w:rsidRDefault="00471DF9" w:rsidP="00471DF9">
      <w:pPr>
        <w:numPr>
          <w:ilvl w:val="0"/>
          <w:numId w:val="2"/>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B2 General industrial - </w:t>
      </w:r>
      <w:r w:rsidRPr="00471DF9">
        <w:rPr>
          <w:rFonts w:ascii="Helvetica" w:eastAsia="Times New Roman" w:hAnsi="Helvetica" w:cs="Helvetica"/>
          <w:color w:val="000000"/>
          <w:sz w:val="24"/>
          <w:szCs w:val="24"/>
          <w:lang w:eastAsia="en-GB"/>
        </w:rPr>
        <w:t>Use for industrial process other than one falling within class B1 (excluding incineration purposes, chemical treatment or landfill or hazardous waste).</w:t>
      </w:r>
    </w:p>
    <w:p w14:paraId="3DE2DFBC" w14:textId="77777777" w:rsidR="00471DF9" w:rsidRPr="00471DF9" w:rsidRDefault="00471DF9" w:rsidP="00471DF9">
      <w:pPr>
        <w:numPr>
          <w:ilvl w:val="0"/>
          <w:numId w:val="2"/>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B8 Storage or distribution -</w:t>
      </w:r>
      <w:r w:rsidRPr="00471DF9">
        <w:rPr>
          <w:rFonts w:ascii="Helvetica" w:eastAsia="Times New Roman" w:hAnsi="Helvetica" w:cs="Helvetica"/>
          <w:color w:val="000000"/>
          <w:sz w:val="24"/>
          <w:szCs w:val="24"/>
          <w:lang w:eastAsia="en-GB"/>
        </w:rPr>
        <w:t> This class includes open air storage.</w:t>
      </w:r>
    </w:p>
    <w:p w14:paraId="43AE0BAF" w14:textId="77777777" w:rsidR="00471DF9" w:rsidRPr="00471DF9" w:rsidRDefault="00471DF9" w:rsidP="00471DF9">
      <w:pPr>
        <w:spacing w:after="0" w:line="240" w:lineRule="auto"/>
        <w:outlineLvl w:val="2"/>
        <w:rPr>
          <w:rFonts w:ascii="Helvetica" w:eastAsia="Times New Roman" w:hAnsi="Helvetica" w:cs="Helvetica"/>
          <w:color w:val="002639"/>
          <w:sz w:val="27"/>
          <w:szCs w:val="27"/>
          <w:lang w:eastAsia="en-GB"/>
        </w:rPr>
      </w:pPr>
      <w:r w:rsidRPr="00471DF9">
        <w:rPr>
          <w:rFonts w:ascii="Helvetica" w:eastAsia="Times New Roman" w:hAnsi="Helvetica" w:cs="Helvetica"/>
          <w:color w:val="002639"/>
          <w:sz w:val="27"/>
          <w:szCs w:val="27"/>
          <w:lang w:eastAsia="en-GB"/>
        </w:rPr>
        <w:t>Part C</w:t>
      </w:r>
    </w:p>
    <w:p w14:paraId="070310FE" w14:textId="77777777" w:rsidR="00471DF9" w:rsidRPr="00471DF9" w:rsidRDefault="00471DF9" w:rsidP="00471DF9">
      <w:pPr>
        <w:numPr>
          <w:ilvl w:val="0"/>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C1 Hotels -</w:t>
      </w:r>
      <w:r w:rsidRPr="00471DF9">
        <w:rPr>
          <w:rFonts w:ascii="Helvetica" w:eastAsia="Times New Roman" w:hAnsi="Helvetica" w:cs="Helvetica"/>
          <w:color w:val="000000"/>
          <w:sz w:val="24"/>
          <w:szCs w:val="24"/>
          <w:lang w:eastAsia="en-GB"/>
        </w:rPr>
        <w:t> Hotels, boarding and guest houses where no significant element of care is provided (excludes hostels).</w:t>
      </w:r>
    </w:p>
    <w:p w14:paraId="1BAFA0A4" w14:textId="77777777" w:rsidR="00471DF9" w:rsidRPr="00471DF9" w:rsidRDefault="00471DF9" w:rsidP="00471DF9">
      <w:pPr>
        <w:numPr>
          <w:ilvl w:val="0"/>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lastRenderedPageBreak/>
        <w:t>C2 Residential institutions -</w:t>
      </w:r>
      <w:r w:rsidRPr="00471DF9">
        <w:rPr>
          <w:rFonts w:ascii="Helvetica" w:eastAsia="Times New Roman" w:hAnsi="Helvetica" w:cs="Helvetica"/>
          <w:color w:val="000000"/>
          <w:sz w:val="24"/>
          <w:szCs w:val="24"/>
          <w:lang w:eastAsia="en-GB"/>
        </w:rPr>
        <w:t> Residential care homes, hospitals, nursing homes, boarding schools, residential colleges and training centres.</w:t>
      </w:r>
    </w:p>
    <w:p w14:paraId="3BB2682E" w14:textId="77777777" w:rsidR="00471DF9" w:rsidRPr="00471DF9" w:rsidRDefault="00471DF9" w:rsidP="00471DF9">
      <w:pPr>
        <w:numPr>
          <w:ilvl w:val="0"/>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C2A Secure Residential Institution</w:t>
      </w:r>
      <w:r w:rsidRPr="00471DF9">
        <w:rPr>
          <w:rFonts w:ascii="Helvetica" w:eastAsia="Times New Roman" w:hAnsi="Helvetica" w:cs="Helvetica"/>
          <w:color w:val="000000"/>
          <w:sz w:val="24"/>
          <w:szCs w:val="24"/>
          <w:lang w:eastAsia="en-GB"/>
        </w:rPr>
        <w:t> - Use for a provision of secure residential accommodation, including use as a prison, young offenders institution, detention centre, secure training centre, custody centre, short term holding centre, secure hospital, secure local authority accommodation or use as a military barracks.</w:t>
      </w:r>
    </w:p>
    <w:p w14:paraId="465373D1" w14:textId="77777777" w:rsidR="00471DF9" w:rsidRPr="00471DF9" w:rsidRDefault="00471DF9" w:rsidP="00471DF9">
      <w:pPr>
        <w:numPr>
          <w:ilvl w:val="0"/>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 xml:space="preserve">C3 </w:t>
      </w:r>
      <w:proofErr w:type="spellStart"/>
      <w:r w:rsidRPr="00471DF9">
        <w:rPr>
          <w:rFonts w:ascii="Helvetica" w:eastAsia="Times New Roman" w:hAnsi="Helvetica" w:cs="Helvetica"/>
          <w:b/>
          <w:bCs/>
          <w:color w:val="000000"/>
          <w:sz w:val="24"/>
          <w:szCs w:val="24"/>
          <w:lang w:eastAsia="en-GB"/>
        </w:rPr>
        <w:t>Dwellinghouses</w:t>
      </w:r>
      <w:proofErr w:type="spellEnd"/>
      <w:r w:rsidRPr="00471DF9">
        <w:rPr>
          <w:rFonts w:ascii="Helvetica" w:eastAsia="Times New Roman" w:hAnsi="Helvetica" w:cs="Helvetica"/>
          <w:b/>
          <w:bCs/>
          <w:color w:val="000000"/>
          <w:sz w:val="24"/>
          <w:szCs w:val="24"/>
          <w:lang w:eastAsia="en-GB"/>
        </w:rPr>
        <w:t xml:space="preserve"> -</w:t>
      </w:r>
      <w:r w:rsidRPr="00471DF9">
        <w:rPr>
          <w:rFonts w:ascii="Helvetica" w:eastAsia="Times New Roman" w:hAnsi="Helvetica" w:cs="Helvetica"/>
          <w:color w:val="000000"/>
          <w:sz w:val="24"/>
          <w:szCs w:val="24"/>
          <w:lang w:eastAsia="en-GB"/>
        </w:rPr>
        <w:t> this class is formed of 3 parts:</w:t>
      </w:r>
    </w:p>
    <w:p w14:paraId="0A8F013B" w14:textId="77777777" w:rsidR="00471DF9" w:rsidRPr="00471DF9" w:rsidRDefault="00471DF9" w:rsidP="00471DF9">
      <w:pPr>
        <w:numPr>
          <w:ilvl w:val="1"/>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 xml:space="preserve">C3(a) covers use by a single person or a family (a couple whether married or not, a person related to one another with members of the family of one of the couple to be treated as members of the family of the other), an employer and certain domestic employees (such as an au pair, nanny, nurse, governess, servant, chauffeur, gardener, secretary and personal assistant), a </w:t>
      </w:r>
      <w:proofErr w:type="spellStart"/>
      <w:r w:rsidRPr="00471DF9">
        <w:rPr>
          <w:rFonts w:ascii="Helvetica" w:eastAsia="Times New Roman" w:hAnsi="Helvetica" w:cs="Helvetica"/>
          <w:color w:val="000000"/>
          <w:sz w:val="24"/>
          <w:szCs w:val="24"/>
          <w:lang w:eastAsia="en-GB"/>
        </w:rPr>
        <w:t>carer</w:t>
      </w:r>
      <w:proofErr w:type="spellEnd"/>
      <w:r w:rsidRPr="00471DF9">
        <w:rPr>
          <w:rFonts w:ascii="Helvetica" w:eastAsia="Times New Roman" w:hAnsi="Helvetica" w:cs="Helvetica"/>
          <w:color w:val="000000"/>
          <w:sz w:val="24"/>
          <w:szCs w:val="24"/>
          <w:lang w:eastAsia="en-GB"/>
        </w:rPr>
        <w:t xml:space="preserve"> and the person receiving the care and a foster parent and foster child.</w:t>
      </w:r>
    </w:p>
    <w:p w14:paraId="2B2EE1EB" w14:textId="77777777" w:rsidR="00471DF9" w:rsidRPr="00471DF9" w:rsidRDefault="00471DF9" w:rsidP="00471DF9">
      <w:pPr>
        <w:numPr>
          <w:ilvl w:val="1"/>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C3(b): up to six people living together as a single household and receiving care e.g. supported housing schemes such as those for people with learning disabilities or mental health problems.</w:t>
      </w:r>
    </w:p>
    <w:p w14:paraId="409DB1AA" w14:textId="77777777" w:rsidR="00471DF9" w:rsidRPr="00471DF9" w:rsidRDefault="00471DF9" w:rsidP="00471DF9">
      <w:pPr>
        <w:numPr>
          <w:ilvl w:val="1"/>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C3(c) allows for groups of people (up to six) living together as a single household. This allows for those groupings that do not fall within the C4 HMO definition, but which fell within the previous C3 use class, to be provided for i.e. a small religious community may fall into this section as could a homeowner who is living with a lodger.</w:t>
      </w:r>
    </w:p>
    <w:p w14:paraId="7CB5908F" w14:textId="77777777" w:rsidR="00471DF9" w:rsidRPr="00471DF9" w:rsidRDefault="00471DF9" w:rsidP="00471DF9">
      <w:pPr>
        <w:numPr>
          <w:ilvl w:val="0"/>
          <w:numId w:val="3"/>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C4 Houses in multiple occupation</w:t>
      </w:r>
      <w:r w:rsidRPr="00471DF9">
        <w:rPr>
          <w:rFonts w:ascii="Helvetica" w:eastAsia="Times New Roman" w:hAnsi="Helvetica" w:cs="Helvetica"/>
          <w:color w:val="000000"/>
          <w:sz w:val="24"/>
          <w:szCs w:val="24"/>
          <w:lang w:eastAsia="en-GB"/>
        </w:rPr>
        <w:t> - small shared houses occupied by between three and six unrelated individuals, as their only or main residence, who share basic amenities such as a kitchen or bathroom.</w:t>
      </w:r>
    </w:p>
    <w:p w14:paraId="5C77BAEE" w14:textId="77777777" w:rsidR="00471DF9" w:rsidRPr="00471DF9" w:rsidRDefault="00471DF9" w:rsidP="00471DF9">
      <w:pPr>
        <w:spacing w:after="0" w:line="240" w:lineRule="auto"/>
        <w:outlineLvl w:val="2"/>
        <w:rPr>
          <w:rFonts w:ascii="Helvetica" w:eastAsia="Times New Roman" w:hAnsi="Helvetica" w:cs="Helvetica"/>
          <w:color w:val="002639"/>
          <w:sz w:val="27"/>
          <w:szCs w:val="27"/>
          <w:lang w:eastAsia="en-GB"/>
        </w:rPr>
      </w:pPr>
      <w:r w:rsidRPr="00471DF9">
        <w:rPr>
          <w:rFonts w:ascii="Helvetica" w:eastAsia="Times New Roman" w:hAnsi="Helvetica" w:cs="Helvetica"/>
          <w:color w:val="002639"/>
          <w:sz w:val="27"/>
          <w:szCs w:val="27"/>
          <w:lang w:eastAsia="en-GB"/>
        </w:rPr>
        <w:t>Part D</w:t>
      </w:r>
    </w:p>
    <w:p w14:paraId="784B1566" w14:textId="77777777" w:rsidR="00471DF9" w:rsidRPr="00471DF9" w:rsidRDefault="00471DF9" w:rsidP="00471DF9">
      <w:pPr>
        <w:numPr>
          <w:ilvl w:val="0"/>
          <w:numId w:val="4"/>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D1 Non-residential institutions -</w:t>
      </w:r>
      <w:r w:rsidRPr="00471DF9">
        <w:rPr>
          <w:rFonts w:ascii="Helvetica" w:eastAsia="Times New Roman" w:hAnsi="Helvetica" w:cs="Helvetica"/>
          <w:color w:val="000000"/>
          <w:sz w:val="24"/>
          <w:szCs w:val="24"/>
          <w:lang w:eastAsia="en-GB"/>
        </w:rPr>
        <w:t xml:space="preserve"> Clinics, health centres, crèches, day nurseries, day centres, schools, art galleries (other than for sale or hire), museums, libraries, halls, places of worship, church halls, law court. </w:t>
      </w:r>
      <w:proofErr w:type="spellStart"/>
      <w:proofErr w:type="gramStart"/>
      <w:r w:rsidRPr="00471DF9">
        <w:rPr>
          <w:rFonts w:ascii="Helvetica" w:eastAsia="Times New Roman" w:hAnsi="Helvetica" w:cs="Helvetica"/>
          <w:color w:val="000000"/>
          <w:sz w:val="24"/>
          <w:szCs w:val="24"/>
          <w:lang w:eastAsia="en-GB"/>
        </w:rPr>
        <w:t>Non residential</w:t>
      </w:r>
      <w:proofErr w:type="spellEnd"/>
      <w:proofErr w:type="gramEnd"/>
      <w:r w:rsidRPr="00471DF9">
        <w:rPr>
          <w:rFonts w:ascii="Helvetica" w:eastAsia="Times New Roman" w:hAnsi="Helvetica" w:cs="Helvetica"/>
          <w:color w:val="000000"/>
          <w:sz w:val="24"/>
          <w:szCs w:val="24"/>
          <w:lang w:eastAsia="en-GB"/>
        </w:rPr>
        <w:t xml:space="preserve"> education and training centres.</w:t>
      </w:r>
    </w:p>
    <w:p w14:paraId="7380DB32" w14:textId="77777777" w:rsidR="00471DF9" w:rsidRPr="00471DF9" w:rsidRDefault="00471DF9" w:rsidP="00471DF9">
      <w:pPr>
        <w:numPr>
          <w:ilvl w:val="0"/>
          <w:numId w:val="4"/>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b/>
          <w:bCs/>
          <w:color w:val="000000"/>
          <w:sz w:val="24"/>
          <w:szCs w:val="24"/>
          <w:lang w:eastAsia="en-GB"/>
        </w:rPr>
        <w:t>D2 Assembly and leisure -</w:t>
      </w:r>
      <w:r w:rsidRPr="00471DF9">
        <w:rPr>
          <w:rFonts w:ascii="Helvetica" w:eastAsia="Times New Roman" w:hAnsi="Helvetica" w:cs="Helvetica"/>
          <w:color w:val="000000"/>
          <w:sz w:val="24"/>
          <w:szCs w:val="24"/>
          <w:lang w:eastAsia="en-GB"/>
        </w:rPr>
        <w:t> Cinemas, music and concert halls, bingo and dance halls (but not night clubs), swimming baths, skating rinks, gymnasiums or area for indoor or outdoor sports and recreations (except for motor sports, or where firearms are used).</w:t>
      </w:r>
    </w:p>
    <w:p w14:paraId="3165F1CB" w14:textId="77777777" w:rsidR="00471DF9" w:rsidRPr="00471DF9" w:rsidRDefault="00471DF9" w:rsidP="00471DF9">
      <w:pPr>
        <w:spacing w:after="0" w:line="240" w:lineRule="auto"/>
        <w:outlineLvl w:val="2"/>
        <w:rPr>
          <w:rFonts w:ascii="Helvetica" w:eastAsia="Times New Roman" w:hAnsi="Helvetica" w:cs="Helvetica"/>
          <w:color w:val="002639"/>
          <w:sz w:val="27"/>
          <w:szCs w:val="27"/>
          <w:lang w:eastAsia="en-GB"/>
        </w:rPr>
      </w:pPr>
      <w:r w:rsidRPr="00471DF9">
        <w:rPr>
          <w:rFonts w:ascii="Helvetica" w:eastAsia="Times New Roman" w:hAnsi="Helvetica" w:cs="Helvetica"/>
          <w:color w:val="002639"/>
          <w:sz w:val="27"/>
          <w:szCs w:val="27"/>
          <w:lang w:eastAsia="en-GB"/>
        </w:rPr>
        <w:t>Sui Generis</w:t>
      </w:r>
    </w:p>
    <w:p w14:paraId="2EF9D07D" w14:textId="77777777" w:rsidR="00471DF9" w:rsidRPr="00471DF9" w:rsidRDefault="00471DF9" w:rsidP="00471DF9">
      <w:pPr>
        <w:numPr>
          <w:ilvl w:val="0"/>
          <w:numId w:val="5"/>
        </w:num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Certain uses do not fall within any use class and are considered 'sui generis'. Such uses include: betting offices/shops, pay day loan shops, theatres, larger houses in multiple occupation, hostels providing no significant element of care, scrap yards. Petrol filling stations and shops selling and/or displaying motor vehicles. Retail warehouse clubs, nightclubs, launderettes, taxi businesses and casinos.</w:t>
      </w:r>
    </w:p>
    <w:p w14:paraId="40C019C9" w14:textId="77777777" w:rsidR="00471DF9" w:rsidRPr="00471DF9" w:rsidRDefault="00471DF9" w:rsidP="00471DF9">
      <w:pPr>
        <w:spacing w:before="100" w:beforeAutospacing="1" w:after="100" w:afterAutospacing="1" w:line="240" w:lineRule="auto"/>
        <w:rPr>
          <w:rFonts w:ascii="Helvetica" w:eastAsia="Times New Roman" w:hAnsi="Helvetica" w:cs="Helvetica"/>
          <w:color w:val="000000"/>
          <w:sz w:val="24"/>
          <w:szCs w:val="24"/>
          <w:lang w:eastAsia="en-GB"/>
        </w:rPr>
      </w:pPr>
      <w:r w:rsidRPr="00471DF9">
        <w:rPr>
          <w:rFonts w:ascii="Helvetica" w:eastAsia="Times New Roman" w:hAnsi="Helvetica" w:cs="Helvetica"/>
          <w:color w:val="000000"/>
          <w:sz w:val="24"/>
          <w:szCs w:val="24"/>
          <w:lang w:eastAsia="en-GB"/>
        </w:rPr>
        <w:t>Before you negotiate a lease or buy a property for your business, check whether you need to obtain planning permission for your intended use, and, if so, your chances of getting it.</w:t>
      </w:r>
    </w:p>
    <w:p w14:paraId="24AA0DB6" w14:textId="77777777" w:rsidR="00897746" w:rsidRDefault="00897746"/>
    <w:sectPr w:rsidR="00897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747"/>
    <w:multiLevelType w:val="multilevel"/>
    <w:tmpl w:val="BF12B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0251A"/>
    <w:multiLevelType w:val="multilevel"/>
    <w:tmpl w:val="FD2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50007"/>
    <w:multiLevelType w:val="multilevel"/>
    <w:tmpl w:val="8C94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609FE"/>
    <w:multiLevelType w:val="multilevel"/>
    <w:tmpl w:val="FEF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86376"/>
    <w:multiLevelType w:val="multilevel"/>
    <w:tmpl w:val="E024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F9"/>
    <w:rsid w:val="00422B7A"/>
    <w:rsid w:val="00471DF9"/>
    <w:rsid w:val="0089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D309"/>
  <w15:chartTrackingRefBased/>
  <w15:docId w15:val="{B5B96FAA-22C5-413B-83CA-F2E693E2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changes/affected/uksi/1987/764" TargetMode="External"/><Relationship Id="rId5" Type="http://schemas.openxmlformats.org/officeDocument/2006/relationships/hyperlink" Target="http://www.legislation.gov.uk/uksi/1987/764/contents/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2019-01-08T12:03:00Z</dcterms:created>
  <dcterms:modified xsi:type="dcterms:W3CDTF">2019-01-08T12:03:00Z</dcterms:modified>
</cp:coreProperties>
</file>