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E34F" w14:textId="77777777" w:rsidR="00C81337" w:rsidRDefault="00C81337" w:rsidP="00625FB7">
      <w:pPr>
        <w:pStyle w:val="NoSpacing"/>
        <w:jc w:val="center"/>
        <w:rPr>
          <w:b/>
          <w:bCs/>
          <w:sz w:val="32"/>
          <w:szCs w:val="32"/>
        </w:rPr>
      </w:pPr>
    </w:p>
    <w:p w14:paraId="05F701F8" w14:textId="1C8D4A52" w:rsidR="0043494C" w:rsidRDefault="00284E57" w:rsidP="00625FB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Reserves </w:t>
      </w:r>
      <w:r w:rsidR="00B66D66">
        <w:rPr>
          <w:b/>
          <w:bCs/>
          <w:sz w:val="32"/>
          <w:szCs w:val="32"/>
        </w:rPr>
        <w:t>Policy</w:t>
      </w:r>
    </w:p>
    <w:p w14:paraId="2B1437B9" w14:textId="77777777" w:rsidR="0043494C" w:rsidRPr="0043494C" w:rsidRDefault="0043494C" w:rsidP="0043494C">
      <w:pPr>
        <w:pStyle w:val="NoSpacing"/>
        <w:jc w:val="center"/>
        <w:rPr>
          <w:b/>
          <w:bCs/>
        </w:rPr>
      </w:pPr>
    </w:p>
    <w:p w14:paraId="0A97635D" w14:textId="77777777" w:rsidR="00C81337" w:rsidRDefault="00C81337" w:rsidP="00625FB7">
      <w:pPr>
        <w:pStyle w:val="NoSpacing"/>
        <w:rPr>
          <w:b/>
          <w:bCs/>
        </w:rPr>
      </w:pPr>
    </w:p>
    <w:p w14:paraId="53518648" w14:textId="19E53E65" w:rsidR="0043494C" w:rsidRDefault="00625FB7" w:rsidP="00625FB7">
      <w:pPr>
        <w:pStyle w:val="NoSpacing"/>
        <w:rPr>
          <w:b/>
          <w:bCs/>
        </w:rPr>
      </w:pPr>
      <w:r w:rsidRPr="00625FB7">
        <w:rPr>
          <w:b/>
          <w:bCs/>
        </w:rPr>
        <w:t>Introduction</w:t>
      </w:r>
    </w:p>
    <w:p w14:paraId="7306CB3D" w14:textId="77777777" w:rsidR="00C81337" w:rsidRPr="00625FB7" w:rsidRDefault="00C81337" w:rsidP="00625FB7">
      <w:pPr>
        <w:pStyle w:val="NoSpacing"/>
        <w:rPr>
          <w:b/>
          <w:bCs/>
        </w:rPr>
      </w:pPr>
    </w:p>
    <w:p w14:paraId="76AA28B4" w14:textId="0A04DB68" w:rsidR="00840401" w:rsidRDefault="00B66D66" w:rsidP="00B678F4">
      <w:pPr>
        <w:pStyle w:val="NoSpacing"/>
        <w:jc w:val="both"/>
      </w:pPr>
      <w:r>
        <w:t xml:space="preserve">Upper Beeding Parish Council (UBPC) </w:t>
      </w:r>
      <w:r w:rsidR="00840401">
        <w:t>maintains adequate financial reserves to meet the needs of its business and ensure financial security.</w:t>
      </w:r>
    </w:p>
    <w:p w14:paraId="06932614" w14:textId="77777777" w:rsidR="00840401" w:rsidRDefault="00840401" w:rsidP="00B678F4">
      <w:pPr>
        <w:pStyle w:val="NoSpacing"/>
        <w:jc w:val="both"/>
      </w:pPr>
    </w:p>
    <w:p w14:paraId="53A86B74" w14:textId="4A6B49CD" w:rsidR="0038085E" w:rsidRPr="00B678F4" w:rsidRDefault="00314F0C" w:rsidP="0038085E">
      <w:pPr>
        <w:pStyle w:val="NoSpacing"/>
        <w:jc w:val="both"/>
        <w:rPr>
          <w:b/>
          <w:bCs/>
        </w:rPr>
      </w:pPr>
      <w:r>
        <w:rPr>
          <w:b/>
          <w:bCs/>
        </w:rPr>
        <w:t>Legal Requirements</w:t>
      </w:r>
    </w:p>
    <w:p w14:paraId="4A3B631F" w14:textId="77777777" w:rsidR="00284E57" w:rsidRDefault="00284E57" w:rsidP="00537F77">
      <w:pPr>
        <w:pStyle w:val="NoSpacing"/>
        <w:rPr>
          <w:b/>
          <w:bCs/>
        </w:rPr>
      </w:pPr>
    </w:p>
    <w:p w14:paraId="0A2830A7" w14:textId="6B0D4A64" w:rsidR="00284E57" w:rsidRPr="00840401" w:rsidRDefault="00840401" w:rsidP="00284E57">
      <w:pPr>
        <w:pStyle w:val="NoSpacing"/>
      </w:pPr>
      <w:r>
        <w:t>The Joint Panel on Accountability and Governance Practitioners Guide (JPAG), (March 2021 edition) advises on reserves as follows:</w:t>
      </w:r>
    </w:p>
    <w:p w14:paraId="04A0334B" w14:textId="77777777" w:rsidR="00284E57" w:rsidRDefault="00284E57" w:rsidP="00537F77">
      <w:pPr>
        <w:pStyle w:val="NoSpacing"/>
        <w:rPr>
          <w:b/>
          <w:bCs/>
        </w:rPr>
      </w:pPr>
    </w:p>
    <w:p w14:paraId="47B015DB" w14:textId="77777777" w:rsidR="00840401" w:rsidRPr="00840401" w:rsidRDefault="00840401" w:rsidP="008404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40401">
        <w:rPr>
          <w:rFonts w:cstheme="minorHAnsi"/>
          <w:i/>
          <w:iCs/>
        </w:rPr>
        <w:t>Reserves:</w:t>
      </w:r>
    </w:p>
    <w:p w14:paraId="35275E9E" w14:textId="4A597049" w:rsidR="00840401" w:rsidRPr="00840401" w:rsidRDefault="00840401" w:rsidP="008404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40401">
        <w:rPr>
          <w:rFonts w:cstheme="minorHAnsi"/>
          <w:i/>
          <w:iCs/>
        </w:rPr>
        <w:t>5.31. As with any financial entity, it is essential that authorities have sufficient Reserves</w:t>
      </w:r>
      <w:r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>(General and Earmarked) to finance both its day to day operations and future plans.</w:t>
      </w:r>
    </w:p>
    <w:p w14:paraId="4F104D39" w14:textId="5573BFA7" w:rsidR="00840401" w:rsidRPr="00840401" w:rsidRDefault="00840401" w:rsidP="008404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40401">
        <w:rPr>
          <w:rFonts w:cstheme="minorHAnsi"/>
          <w:i/>
          <w:iCs/>
        </w:rPr>
        <w:t>It is important, however, given that its funds are generated from taxation/public</w:t>
      </w:r>
      <w:r w:rsidR="00CC7C8E"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>levies, that such reserves are not excessive.</w:t>
      </w:r>
    </w:p>
    <w:p w14:paraId="737416B0" w14:textId="7E28B58A" w:rsidR="00284E57" w:rsidRDefault="00284E57" w:rsidP="00537F77">
      <w:pPr>
        <w:pStyle w:val="NoSpacing"/>
        <w:rPr>
          <w:b/>
          <w:bCs/>
        </w:rPr>
      </w:pPr>
    </w:p>
    <w:p w14:paraId="7AC96DFC" w14:textId="77777777" w:rsidR="00C81337" w:rsidRDefault="00C81337" w:rsidP="00537F77">
      <w:pPr>
        <w:pStyle w:val="NoSpacing"/>
        <w:rPr>
          <w:b/>
          <w:bCs/>
        </w:rPr>
      </w:pPr>
    </w:p>
    <w:p w14:paraId="7F468429" w14:textId="50E93DD4" w:rsidR="00537F77" w:rsidRDefault="00CC7C8E" w:rsidP="00537F77">
      <w:pPr>
        <w:pStyle w:val="NoSpacing"/>
        <w:rPr>
          <w:b/>
          <w:bCs/>
        </w:rPr>
      </w:pPr>
      <w:r>
        <w:rPr>
          <w:b/>
          <w:bCs/>
        </w:rPr>
        <w:t>General Reserves</w:t>
      </w:r>
    </w:p>
    <w:p w14:paraId="1EF5D20C" w14:textId="24F82F4F" w:rsidR="00C81337" w:rsidRDefault="00C81337" w:rsidP="00537F77">
      <w:pPr>
        <w:pStyle w:val="NoSpacing"/>
        <w:rPr>
          <w:b/>
          <w:bCs/>
        </w:rPr>
      </w:pPr>
    </w:p>
    <w:p w14:paraId="2BC5EABD" w14:textId="77777777" w:rsidR="00C81337" w:rsidRDefault="00C81337" w:rsidP="00C81337">
      <w:pPr>
        <w:pStyle w:val="NoSpacing"/>
      </w:pPr>
      <w:r>
        <w:t xml:space="preserve">General Reserves do not have restrictions as to their use and can be used in the case of unexpected events or emergencies. </w:t>
      </w:r>
    </w:p>
    <w:p w14:paraId="62CB18FE" w14:textId="77777777" w:rsidR="00C81337" w:rsidRDefault="00C81337" w:rsidP="00C81337">
      <w:pPr>
        <w:pStyle w:val="NoSpacing"/>
      </w:pPr>
    </w:p>
    <w:p w14:paraId="248ABB4A" w14:textId="77777777" w:rsidR="00C81337" w:rsidRDefault="00C81337" w:rsidP="00C81337">
      <w:pPr>
        <w:pStyle w:val="NoSpacing"/>
      </w:pPr>
      <w:r>
        <w:t xml:space="preserve">Considering the JPAG recommendations, UBPC aim to maintain a general reserve </w:t>
      </w:r>
      <w:r w:rsidRPr="000D08E3">
        <w:t>of 4 months operating costs (in the region of £75,000).</w:t>
      </w:r>
    </w:p>
    <w:p w14:paraId="603BBD78" w14:textId="77777777" w:rsidR="00C81337" w:rsidRDefault="00C81337" w:rsidP="00537F77">
      <w:pPr>
        <w:pStyle w:val="NoSpacing"/>
        <w:rPr>
          <w:b/>
          <w:bCs/>
        </w:rPr>
      </w:pPr>
    </w:p>
    <w:p w14:paraId="122867F5" w14:textId="0EE44459" w:rsidR="00C81337" w:rsidRDefault="00C81337" w:rsidP="00537F77">
      <w:pPr>
        <w:pStyle w:val="NoSpacing"/>
      </w:pPr>
      <w:r>
        <w:t>JPAG advises:</w:t>
      </w:r>
    </w:p>
    <w:p w14:paraId="4FDBFFC4" w14:textId="77777777" w:rsidR="00C81337" w:rsidRDefault="00C81337" w:rsidP="00C813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40401">
        <w:rPr>
          <w:rFonts w:cstheme="minorHAnsi"/>
          <w:i/>
          <w:iCs/>
        </w:rPr>
        <w:t xml:space="preserve">5.32. General Reserve </w:t>
      </w:r>
      <w:r w:rsidRPr="00840401">
        <w:rPr>
          <w:rFonts w:eastAsia="ArialMT" w:cstheme="minorHAnsi"/>
          <w:i/>
          <w:iCs/>
        </w:rPr>
        <w:t xml:space="preserve">— </w:t>
      </w:r>
      <w:r w:rsidRPr="00840401">
        <w:rPr>
          <w:rFonts w:cstheme="minorHAnsi"/>
          <w:i/>
          <w:iCs/>
        </w:rPr>
        <w:t>The generally accepted recommendation with regard to the</w:t>
      </w:r>
      <w:r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 xml:space="preserve">appropriate minimum level of a Smaller </w:t>
      </w:r>
      <w:r w:rsidRPr="00840401">
        <w:rPr>
          <w:rFonts w:eastAsia="ArialMT" w:cstheme="minorHAnsi"/>
          <w:i/>
          <w:iCs/>
        </w:rPr>
        <w:t xml:space="preserve">Authority’s </w:t>
      </w:r>
      <w:r w:rsidRPr="00840401">
        <w:rPr>
          <w:rFonts w:cstheme="minorHAnsi"/>
          <w:i/>
          <w:iCs/>
        </w:rPr>
        <w:t>General Reserve is that this</w:t>
      </w:r>
      <w:r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>should be maintained at between three (3) and twelve (12) months Net Revenue</w:t>
      </w:r>
      <w:r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>Expenditure (NRE). NRE (subject to any planned surplus or deficit) is effectively</w:t>
      </w:r>
      <w:r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>Precept\Levy less any Loan Repayment and/or amounts included in Precept\Levy for</w:t>
      </w:r>
      <w:r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>Capital Projects and transfers to Earmarked Reserves. The reason for the wide</w:t>
      </w:r>
      <w:r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>range (3 to 12 months) is to cater for the large variation in sizes of individual</w:t>
      </w:r>
      <w:r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>authorities. The smaller the authority the closer the figure should be to 12 months</w:t>
      </w:r>
      <w:r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>NRE, the larger the authority the nearer to 3 months. In practice, any authority with</w:t>
      </w:r>
      <w:r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>an NRE in excess of £200,000 should plan on 3 months equivalent General Reserve.</w:t>
      </w:r>
    </w:p>
    <w:p w14:paraId="45EFF3A5" w14:textId="77777777" w:rsidR="00C81337" w:rsidRPr="00840401" w:rsidRDefault="00C81337" w:rsidP="00C813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40401">
        <w:rPr>
          <w:rFonts w:cstheme="minorHAnsi"/>
          <w:i/>
          <w:iCs/>
        </w:rPr>
        <w:t>In all of this it is important that each authority adopt, as a General Reserve policy, the</w:t>
      </w:r>
      <w:r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>level appropriate to their size and situation and plan their Budget so as to ensure that</w:t>
      </w:r>
      <w:r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>the adopted level is maintained. Changes in activity levels/range of services provided</w:t>
      </w:r>
      <w:r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>will inevitably lead to changes in the requisite minimum level of General Reserve in</w:t>
      </w:r>
      <w:r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>order to provide working capital for those activities.</w:t>
      </w:r>
    </w:p>
    <w:p w14:paraId="661EB5A3" w14:textId="6CCBA2E0" w:rsidR="00C81337" w:rsidRDefault="00C81337" w:rsidP="00537F77">
      <w:pPr>
        <w:pStyle w:val="NoSpacing"/>
      </w:pPr>
    </w:p>
    <w:p w14:paraId="5B345F23" w14:textId="0332B3FC" w:rsidR="00C81337" w:rsidRDefault="00C81337" w:rsidP="00537F77">
      <w:pPr>
        <w:pStyle w:val="NoSpacing"/>
      </w:pPr>
    </w:p>
    <w:p w14:paraId="4B2F7E19" w14:textId="77777777" w:rsidR="00C81337" w:rsidRDefault="00C81337" w:rsidP="00537F77">
      <w:pPr>
        <w:pStyle w:val="NoSpacing"/>
      </w:pPr>
    </w:p>
    <w:p w14:paraId="64E6F765" w14:textId="542E5B78" w:rsidR="00CC7C8E" w:rsidRDefault="00CC7C8E" w:rsidP="00537F77">
      <w:pPr>
        <w:pStyle w:val="NoSpacing"/>
        <w:rPr>
          <w:b/>
          <w:bCs/>
        </w:rPr>
      </w:pPr>
      <w:r>
        <w:rPr>
          <w:b/>
          <w:bCs/>
        </w:rPr>
        <w:t>Earmarked Reserves</w:t>
      </w:r>
    </w:p>
    <w:p w14:paraId="03E90197" w14:textId="77777777" w:rsidR="00C81337" w:rsidRDefault="00C81337" w:rsidP="00537F77">
      <w:pPr>
        <w:pStyle w:val="NoSpacing"/>
      </w:pPr>
    </w:p>
    <w:p w14:paraId="1177F5AB" w14:textId="1E375459" w:rsidR="00CC7C8E" w:rsidRDefault="00C81337" w:rsidP="00C81337">
      <w:pPr>
        <w:pStyle w:val="NoSpacing"/>
        <w:jc w:val="both"/>
      </w:pPr>
      <w:r>
        <w:t>Earmarked Reserves are held to enable the Council to build up sufficient funds to meet its capital expenditure programme and can generally include replacement or new play equipment and/or sports facilities or any other capital project as identified in the business plan.</w:t>
      </w:r>
    </w:p>
    <w:p w14:paraId="4BABAFAD" w14:textId="147F556B" w:rsidR="00902A6A" w:rsidRDefault="00902A6A" w:rsidP="00C81337">
      <w:pPr>
        <w:pStyle w:val="NoSpacing"/>
        <w:jc w:val="both"/>
      </w:pPr>
    </w:p>
    <w:p w14:paraId="73FCADFA" w14:textId="658536EB" w:rsidR="00902A6A" w:rsidRDefault="00902A6A" w:rsidP="00C81337">
      <w:pPr>
        <w:pStyle w:val="NoSpacing"/>
        <w:jc w:val="both"/>
      </w:pPr>
      <w:r>
        <w:t>An Earmarked Reserve can be transferred to General Reserves or another Earmarked Reserve if approved by UBPC at a properly convened meeting.</w:t>
      </w:r>
    </w:p>
    <w:p w14:paraId="3FB6EE48" w14:textId="67E01619" w:rsidR="00C81337" w:rsidRDefault="00C81337" w:rsidP="00537F77">
      <w:pPr>
        <w:pStyle w:val="NoSpacing"/>
      </w:pPr>
    </w:p>
    <w:p w14:paraId="2D479703" w14:textId="77777777" w:rsidR="00C81337" w:rsidRDefault="00C81337" w:rsidP="00C81337">
      <w:pPr>
        <w:pStyle w:val="NoSpacing"/>
      </w:pPr>
      <w:r>
        <w:t>JPAG advises:</w:t>
      </w:r>
    </w:p>
    <w:p w14:paraId="79BC1E76" w14:textId="77777777" w:rsidR="00C81337" w:rsidRPr="00840401" w:rsidRDefault="00C81337" w:rsidP="00C813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40401">
        <w:rPr>
          <w:rFonts w:cstheme="minorHAnsi"/>
          <w:i/>
          <w:iCs/>
        </w:rPr>
        <w:t xml:space="preserve">5.33. Earmarked and Other Reserves </w:t>
      </w:r>
      <w:r w:rsidRPr="00840401">
        <w:rPr>
          <w:rFonts w:eastAsia="ArialMT" w:cstheme="minorHAnsi"/>
          <w:i/>
          <w:iCs/>
        </w:rPr>
        <w:t xml:space="preserve">— </w:t>
      </w:r>
      <w:r w:rsidRPr="00840401">
        <w:rPr>
          <w:rFonts w:cstheme="minorHAnsi"/>
          <w:i/>
          <w:iCs/>
        </w:rPr>
        <w:t>None of the above in any way affects the level of</w:t>
      </w:r>
      <w:r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>Earmarked and/or Capital Receipts Reserves (EMR/CRRs) that an authority may or</w:t>
      </w:r>
      <w:r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>should hold. There is, in practice, no upper or lower limit to EMR/CRRs save only</w:t>
      </w:r>
      <w:r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>that they must be held for genuine and intended purposes, and their level should be</w:t>
      </w:r>
      <w:r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>subject to regular review and justification (at least annually) and should be</w:t>
      </w:r>
      <w:r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>separately identified and enumerated. Significant levels of EMRs in particular may</w:t>
      </w:r>
      <w:r>
        <w:rPr>
          <w:rFonts w:cstheme="minorHAnsi"/>
          <w:i/>
          <w:iCs/>
        </w:rPr>
        <w:t xml:space="preserve"> </w:t>
      </w:r>
      <w:r w:rsidRPr="00840401">
        <w:rPr>
          <w:rFonts w:cstheme="minorHAnsi"/>
          <w:i/>
          <w:iCs/>
        </w:rPr>
        <w:t>give rise to enquiries from Internal and/or External Auditors.</w:t>
      </w:r>
    </w:p>
    <w:p w14:paraId="4BE4EF9C" w14:textId="28C90CEA" w:rsidR="002071F7" w:rsidRDefault="002071F7" w:rsidP="00537F77">
      <w:pPr>
        <w:pStyle w:val="NoSpacing"/>
      </w:pPr>
    </w:p>
    <w:p w14:paraId="44012D4C" w14:textId="47F91D1A" w:rsidR="002071F7" w:rsidRDefault="002071F7" w:rsidP="00537F77">
      <w:pPr>
        <w:pStyle w:val="NoSpacing"/>
      </w:pPr>
    </w:p>
    <w:p w14:paraId="3ADE5685" w14:textId="51AF99AE" w:rsidR="00E831C0" w:rsidRDefault="00E831C0" w:rsidP="00537F77">
      <w:pPr>
        <w:pStyle w:val="NoSpacing"/>
        <w:rPr>
          <w:b/>
          <w:bCs/>
        </w:rPr>
      </w:pPr>
      <w:r>
        <w:rPr>
          <w:b/>
          <w:bCs/>
        </w:rPr>
        <w:t>Review</w:t>
      </w:r>
    </w:p>
    <w:p w14:paraId="58A77A42" w14:textId="2C0A0BD9" w:rsidR="00E831C0" w:rsidRDefault="00E831C0" w:rsidP="00537F77">
      <w:pPr>
        <w:pStyle w:val="NoSpacing"/>
        <w:rPr>
          <w:b/>
          <w:bCs/>
        </w:rPr>
      </w:pPr>
    </w:p>
    <w:p w14:paraId="18753D74" w14:textId="12C3C1D6" w:rsidR="00E831C0" w:rsidRPr="00E831C0" w:rsidRDefault="00E831C0" w:rsidP="00537F77">
      <w:pPr>
        <w:pStyle w:val="NoSpacing"/>
      </w:pPr>
      <w:r>
        <w:t>This policy will be reviewed annually to ensure it fully complies with the Council’s requirements.</w:t>
      </w:r>
    </w:p>
    <w:p w14:paraId="07ACC162" w14:textId="7AEFDA46" w:rsidR="00537F77" w:rsidRDefault="00537F77" w:rsidP="00537F77">
      <w:pPr>
        <w:pStyle w:val="NoSpacing"/>
      </w:pPr>
    </w:p>
    <w:p w14:paraId="5E959DB9" w14:textId="2CD0AA6F" w:rsidR="00E831C0" w:rsidRDefault="00E831C0" w:rsidP="00537F77">
      <w:pPr>
        <w:pStyle w:val="NoSpacing"/>
      </w:pPr>
    </w:p>
    <w:p w14:paraId="5C273133" w14:textId="6697594D" w:rsidR="00E831C0" w:rsidRDefault="00E831C0" w:rsidP="00537F77">
      <w:pPr>
        <w:pStyle w:val="NoSpacing"/>
      </w:pPr>
    </w:p>
    <w:p w14:paraId="5749CEC4" w14:textId="458E0F58" w:rsidR="00E831C0" w:rsidRDefault="00E831C0" w:rsidP="00537F77">
      <w:pPr>
        <w:pStyle w:val="NoSpacing"/>
      </w:pPr>
    </w:p>
    <w:p w14:paraId="75EF6A26" w14:textId="7CC82312" w:rsidR="00E831C0" w:rsidRDefault="00E831C0" w:rsidP="00537F77">
      <w:pPr>
        <w:pStyle w:val="NoSpacing"/>
      </w:pPr>
    </w:p>
    <w:p w14:paraId="24F65FB4" w14:textId="1AC2411A" w:rsidR="00E831C0" w:rsidRDefault="00E831C0" w:rsidP="00537F77">
      <w:pPr>
        <w:pStyle w:val="NoSpacing"/>
      </w:pPr>
    </w:p>
    <w:p w14:paraId="29484B94" w14:textId="77777777" w:rsidR="00E831C0" w:rsidRDefault="00E831C0" w:rsidP="00537F77">
      <w:pPr>
        <w:pStyle w:val="NoSpacing"/>
      </w:pPr>
    </w:p>
    <w:p w14:paraId="16ACBBBB" w14:textId="7BAAB6A4" w:rsidR="00537F77" w:rsidRDefault="00537F77" w:rsidP="00537F77">
      <w:pPr>
        <w:pStyle w:val="NoSpacing"/>
      </w:pPr>
    </w:p>
    <w:p w14:paraId="5F2DBD3E" w14:textId="2E653220" w:rsidR="00537F77" w:rsidRDefault="00537F77" w:rsidP="00537F77">
      <w:pPr>
        <w:pStyle w:val="NoSpacing"/>
      </w:pPr>
      <w:r>
        <w:t xml:space="preserve">Policy Adopted: </w:t>
      </w:r>
      <w:r w:rsidR="00F164B8">
        <w:t>March 2022. Minute Ref: C0322:23</w:t>
      </w:r>
    </w:p>
    <w:p w14:paraId="14140826" w14:textId="5DFA83D2" w:rsidR="00537F77" w:rsidRDefault="00537F77" w:rsidP="002071F7">
      <w:pPr>
        <w:pStyle w:val="NoSpacing"/>
        <w:rPr>
          <w:rFonts w:ascii="Arial" w:hAnsi="Arial" w:cs="Arial"/>
          <w:color w:val="008080"/>
        </w:rPr>
      </w:pPr>
      <w:r>
        <w:t>Next Review:</w:t>
      </w:r>
      <w:r w:rsidR="00D304A5">
        <w:t xml:space="preserve"> </w:t>
      </w:r>
      <w:r w:rsidR="00F164B8">
        <w:t>February 2023</w:t>
      </w:r>
    </w:p>
    <w:p w14:paraId="32130D12" w14:textId="77777777" w:rsidR="00537F77" w:rsidRPr="008F04FC" w:rsidRDefault="00537F77" w:rsidP="000503A1">
      <w:pPr>
        <w:jc w:val="both"/>
        <w:rPr>
          <w:rFonts w:ascii="Arial" w:hAnsi="Arial" w:cs="Arial"/>
          <w:color w:val="008080"/>
        </w:rPr>
      </w:pPr>
    </w:p>
    <w:sectPr w:rsidR="00537F77" w:rsidRPr="008F04FC" w:rsidSect="00B42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2742" w14:textId="77777777" w:rsidR="00767F9E" w:rsidRDefault="00767F9E" w:rsidP="007A5675">
      <w:pPr>
        <w:spacing w:after="0" w:line="240" w:lineRule="auto"/>
      </w:pPr>
      <w:r>
        <w:separator/>
      </w:r>
    </w:p>
  </w:endnote>
  <w:endnote w:type="continuationSeparator" w:id="0">
    <w:p w14:paraId="17DA54D7" w14:textId="77777777" w:rsidR="00767F9E" w:rsidRDefault="00767F9E" w:rsidP="007A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733E" w14:textId="77777777" w:rsidR="003C129A" w:rsidRDefault="003C1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Default="00055D95" w:rsidP="00055D9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3E0EC6" w:rsidRDefault="00055D95" w:rsidP="00055D9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542C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Telephone: 01903 816911 </w:t>
                          </w:r>
                          <w:r w:rsidRPr="00B542C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B542C3">
                              <w:rPr>
                                <w:rStyle w:val="Hyperlink"/>
                                <w:color w:val="FFFFFF" w:themeColor="background1"/>
                                <w:sz w:val="20"/>
                                <w:szCs w:val="20"/>
                              </w:rPr>
                              <w:t>clerk@upperbeeding-pc.gov.uk</w:t>
                            </w:r>
                          </w:hyperlink>
                          <w:r w:rsidRPr="00B542C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  <w:t>Website: www.upperbeeding-pc.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Default="00055D95" w:rsidP="00055D95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3E0EC6" w:rsidRDefault="00055D95" w:rsidP="00055D95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B542C3">
                      <w:rPr>
                        <w:color w:val="FFFFFF" w:themeColor="background1"/>
                        <w:sz w:val="20"/>
                        <w:szCs w:val="20"/>
                      </w:rPr>
                      <w:t xml:space="preserve">Telephone: 01903 816911 </w:t>
                    </w:r>
                    <w:r w:rsidRPr="00B542C3">
                      <w:rPr>
                        <w:color w:val="FFFFFF" w:themeColor="background1"/>
                        <w:sz w:val="20"/>
                        <w:szCs w:val="20"/>
                      </w:rPr>
                      <w:tab/>
                      <w:t xml:space="preserve">email: </w:t>
                    </w:r>
                    <w:hyperlink r:id="rId2" w:history="1">
                      <w:r w:rsidRPr="00B542C3">
                        <w:rPr>
                          <w:rStyle w:val="Hyperlink"/>
                          <w:color w:val="FFFFFF" w:themeColor="background1"/>
                          <w:sz w:val="20"/>
                          <w:szCs w:val="20"/>
                        </w:rPr>
                        <w:t>clerk@upperbeeding-pc.gov.uk</w:t>
                      </w:r>
                    </w:hyperlink>
                    <w:r w:rsidRPr="00B542C3">
                      <w:rPr>
                        <w:color w:val="FFFFFF" w:themeColor="background1"/>
                        <w:sz w:val="20"/>
                        <w:szCs w:val="20"/>
                      </w:rPr>
                      <w:tab/>
                      <w:t>Website: www.upperbeeding-pc.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  <w:szCs w:val="20"/>
      </w:rPr>
    </w:pPr>
    <w:r>
      <w:rPr>
        <w:b/>
        <w:bCs/>
        <w:color w:val="FFFFFF" w:themeColor="background1"/>
        <w:sz w:val="20"/>
        <w:szCs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7660" cy="678180"/>
              <wp:effectExtent l="0" t="0" r="15240" b="266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7660" cy="67818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3E0EC6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542C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Telephone: 01903 816911 </w:t>
                          </w:r>
                          <w:r w:rsidRPr="00B542C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B542C3">
                              <w:rPr>
                                <w:rStyle w:val="Hyperlink"/>
                                <w:color w:val="FFFFFF" w:themeColor="background1"/>
                                <w:sz w:val="20"/>
                                <w:szCs w:val="20"/>
                              </w:rPr>
                              <w:t>clerk@upperbeeding-pc.gov.uk</w:t>
                            </w:r>
                          </w:hyperlink>
                          <w:r w:rsidRPr="00B542C3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  <w:t>Website: www.upperbeeding-pc.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pt;height:5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vtFgIAACYEAAAOAAAAZHJzL2Uyb0RvYy54bWysU9uO2yAQfa/Uf0C8N3aiXK04q222W1Xa&#10;XqRtPwADjlExQ4HETr++A/Zmo23Vh6q2hBgGzsycObO96VtNTtJ5Baak00lOiTQchDKHkn77ev9m&#10;TYkPzAimwciSnqWnN7vXr7adLeQMGtBCOoIgxhedLWkTgi2yzPNGtsxPwEqDzhpcywKa7pAJxzpE&#10;b3U2y/Nl1oET1gGX3uPp3eCku4Rf15KHz3XtZSC6pJhbSKtLaxXXbLdlxcEx2yg+psH+IYuWKYNB&#10;L1B3LDBydOo3qFZxBx7qMOHQZlDXistUA1YzzV9U89gwK1MtSI63F5r8/4Pln06P9osjoX8LPTYw&#10;FeHtA/DvnhjYN8wc5K1z0DWSCQw8jZRlnfXF+DRS7QsfQaruIwhsMjsGSEB97drICtZJEB0bcL6Q&#10;LvtAOB6uNvPVcokujr7laj1dp65krHh6bZ0P7yW0JG5K6rCpCZ2dHnyI2bDi6UoM5kErca+0ToY7&#10;VHvtyIlFAeRr/FMBL65pQ7qSbhazxUDAXyBy/P4E0aqAStaqLek63hm1FWl7Z0TSWWBKD3tMWZuR&#10;x0jdQGLoq54oUdJZDBBprUCckVgHg3Bx0HDTgPtJSYeiLan/cWROUqI/GGzOZjqfR5UnY75YzdBw&#10;157q2sMMR6iSBkqG7T6kyYi8GbjFJtYq8fucyZgyijHRPg5OVPu1nW49j/fuFwAAAP//AwBQSwME&#10;FAAGAAgAAAAhABXGeefgAAAACwEAAA8AAABkcnMvZG93bnJldi54bWxMj81qwzAQhO+FvoPYQm+J&#10;/EcaHMuhLQRKb0lamqNibW0TaWUkJXbevsqpuc0yw+w31Xoyml3Q+d6SgHSeAENqrOqpFfC138yW&#10;wHyQpKS2hAKu6GFdPz5UslR2pC1edqFlsYR8KQV0IQwl577p0Eg/twNS9H6tMzLE07VcOTnGcqN5&#10;liQLbmRP8UMnB3zvsDntzkZA9r3PT1vXDMXbx8Zex4P++dSpEM9P0+sKWMAp/Ifhhh/RoY5MR3sm&#10;5ZkWMEuXcUsQUCQ5sFsgy/MFsGNUxUsKvK74/Yb6DwAA//8DAFBLAQItABQABgAIAAAAIQC2gziS&#10;/gAAAOEBAAATAAAAAAAAAAAAAAAAAAAAAABbQ29udGVudF9UeXBlc10ueG1sUEsBAi0AFAAGAAgA&#10;AAAhADj9If/WAAAAlAEAAAsAAAAAAAAAAAAAAAAALwEAAF9yZWxzLy5yZWxzUEsBAi0AFAAGAAgA&#10;AAAhABkT6+0WAgAAJgQAAA4AAAAAAAAAAAAAAAAALgIAAGRycy9lMm9Eb2MueG1sUEsBAi0AFAAG&#10;AAgAAAAhABXGeefgAAAACwEAAA8AAAAAAAAAAAAAAAAAcAQAAGRycy9kb3ducmV2LnhtbFBLBQYA&#10;AAAABAAEAPMAAAB9BQAAAAA=&#10;" fillcolor="teal">
              <v:textbox>
                <w:txbxContent>
                  <w:p w14:paraId="2F663BB1" w14:textId="77777777" w:rsid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3E0EC6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B542C3">
                      <w:rPr>
                        <w:color w:val="FFFFFF" w:themeColor="background1"/>
                        <w:sz w:val="20"/>
                        <w:szCs w:val="20"/>
                      </w:rPr>
                      <w:t xml:space="preserve">Telephone: 01903 816911 </w:t>
                    </w:r>
                    <w:r w:rsidRPr="00B542C3">
                      <w:rPr>
                        <w:color w:val="FFFFFF" w:themeColor="background1"/>
                        <w:sz w:val="20"/>
                        <w:szCs w:val="20"/>
                      </w:rPr>
                      <w:tab/>
                      <w:t xml:space="preserve">email: </w:t>
                    </w:r>
                    <w:hyperlink r:id="rId2" w:history="1">
                      <w:r w:rsidRPr="00B542C3">
                        <w:rPr>
                          <w:rStyle w:val="Hyperlink"/>
                          <w:color w:val="FFFFFF" w:themeColor="background1"/>
                          <w:sz w:val="20"/>
                          <w:szCs w:val="20"/>
                        </w:rPr>
                        <w:t>clerk@upperbeeding-pc.gov.uk</w:t>
                      </w:r>
                    </w:hyperlink>
                    <w:r w:rsidRPr="00B542C3">
                      <w:rPr>
                        <w:color w:val="FFFFFF" w:themeColor="background1"/>
                        <w:sz w:val="20"/>
                        <w:szCs w:val="20"/>
                      </w:rPr>
                      <w:tab/>
                      <w:t>Website: www.upperbeeding-pc.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  <w:szCs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891E" w14:textId="77777777" w:rsidR="00767F9E" w:rsidRDefault="00767F9E" w:rsidP="007A5675">
      <w:pPr>
        <w:spacing w:after="0" w:line="240" w:lineRule="auto"/>
      </w:pPr>
      <w:r>
        <w:separator/>
      </w:r>
    </w:p>
  </w:footnote>
  <w:footnote w:type="continuationSeparator" w:id="0">
    <w:p w14:paraId="33F43832" w14:textId="77777777" w:rsidR="00767F9E" w:rsidRDefault="00767F9E" w:rsidP="007A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F771" w14:textId="6541F23B" w:rsidR="003C129A" w:rsidRDefault="003C12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A965" w14:textId="2DF6A7F0" w:rsidR="003C129A" w:rsidRDefault="003C12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664E4F38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394205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394205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E6498"/>
    <w:multiLevelType w:val="hybridMultilevel"/>
    <w:tmpl w:val="F50A4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4A7E"/>
    <w:multiLevelType w:val="hybridMultilevel"/>
    <w:tmpl w:val="C6A05F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82475"/>
    <w:multiLevelType w:val="hybridMultilevel"/>
    <w:tmpl w:val="C728D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939E9"/>
    <w:multiLevelType w:val="hybridMultilevel"/>
    <w:tmpl w:val="B61CE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9420B"/>
    <w:multiLevelType w:val="hybridMultilevel"/>
    <w:tmpl w:val="BF9C6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B2E8D"/>
    <w:multiLevelType w:val="hybridMultilevel"/>
    <w:tmpl w:val="03DED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37726"/>
    <w:multiLevelType w:val="hybridMultilevel"/>
    <w:tmpl w:val="BD0CEC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52BAE"/>
    <w:multiLevelType w:val="hybridMultilevel"/>
    <w:tmpl w:val="D97601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6"/>
  </w:num>
  <w:num w:numId="4">
    <w:abstractNumId w:val="18"/>
  </w:num>
  <w:num w:numId="5">
    <w:abstractNumId w:val="13"/>
  </w:num>
  <w:num w:numId="6">
    <w:abstractNumId w:val="0"/>
  </w:num>
  <w:num w:numId="7">
    <w:abstractNumId w:val="21"/>
  </w:num>
  <w:num w:numId="8">
    <w:abstractNumId w:val="0"/>
  </w:num>
  <w:num w:numId="9">
    <w:abstractNumId w:val="17"/>
  </w:num>
  <w:num w:numId="10">
    <w:abstractNumId w:val="7"/>
  </w:num>
  <w:num w:numId="11">
    <w:abstractNumId w:val="10"/>
  </w:num>
  <w:num w:numId="12">
    <w:abstractNumId w:val="5"/>
  </w:num>
  <w:num w:numId="13">
    <w:abstractNumId w:val="14"/>
  </w:num>
  <w:num w:numId="14">
    <w:abstractNumId w:val="20"/>
  </w:num>
  <w:num w:numId="15">
    <w:abstractNumId w:val="4"/>
  </w:num>
  <w:num w:numId="16">
    <w:abstractNumId w:val="23"/>
  </w:num>
  <w:num w:numId="17">
    <w:abstractNumId w:val="24"/>
  </w:num>
  <w:num w:numId="18">
    <w:abstractNumId w:val="8"/>
  </w:num>
  <w:num w:numId="19">
    <w:abstractNumId w:val="1"/>
  </w:num>
  <w:num w:numId="20">
    <w:abstractNumId w:val="25"/>
  </w:num>
  <w:num w:numId="21">
    <w:abstractNumId w:val="12"/>
  </w:num>
  <w:num w:numId="22">
    <w:abstractNumId w:val="11"/>
  </w:num>
  <w:num w:numId="23">
    <w:abstractNumId w:val="6"/>
  </w:num>
  <w:num w:numId="24">
    <w:abstractNumId w:val="2"/>
  </w:num>
  <w:num w:numId="25">
    <w:abstractNumId w:val="9"/>
  </w:num>
  <w:num w:numId="26">
    <w:abstractNumId w:val="15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1727C"/>
    <w:rsid w:val="000503A1"/>
    <w:rsid w:val="00055D95"/>
    <w:rsid w:val="00057450"/>
    <w:rsid w:val="000663BB"/>
    <w:rsid w:val="0006758A"/>
    <w:rsid w:val="00071252"/>
    <w:rsid w:val="000D08E3"/>
    <w:rsid w:val="000D4A5C"/>
    <w:rsid w:val="00103820"/>
    <w:rsid w:val="001309B8"/>
    <w:rsid w:val="001455DB"/>
    <w:rsid w:val="001459E6"/>
    <w:rsid w:val="00177D13"/>
    <w:rsid w:val="001C3572"/>
    <w:rsid w:val="001D2C7B"/>
    <w:rsid w:val="001D46A3"/>
    <w:rsid w:val="001F56AB"/>
    <w:rsid w:val="002036A1"/>
    <w:rsid w:val="002037F7"/>
    <w:rsid w:val="002071F7"/>
    <w:rsid w:val="00214AB5"/>
    <w:rsid w:val="00230AE5"/>
    <w:rsid w:val="00257F40"/>
    <w:rsid w:val="00284E57"/>
    <w:rsid w:val="002D77AB"/>
    <w:rsid w:val="00314F0C"/>
    <w:rsid w:val="00316564"/>
    <w:rsid w:val="003212A8"/>
    <w:rsid w:val="00353D79"/>
    <w:rsid w:val="00355216"/>
    <w:rsid w:val="003659BC"/>
    <w:rsid w:val="00377A92"/>
    <w:rsid w:val="0038085E"/>
    <w:rsid w:val="00385A24"/>
    <w:rsid w:val="003871C4"/>
    <w:rsid w:val="00395D3D"/>
    <w:rsid w:val="003C129A"/>
    <w:rsid w:val="003C1D59"/>
    <w:rsid w:val="003E172C"/>
    <w:rsid w:val="003E2C01"/>
    <w:rsid w:val="003F1AE8"/>
    <w:rsid w:val="00407A5B"/>
    <w:rsid w:val="0043494C"/>
    <w:rsid w:val="00461967"/>
    <w:rsid w:val="00503575"/>
    <w:rsid w:val="005119E1"/>
    <w:rsid w:val="00533256"/>
    <w:rsid w:val="00537F77"/>
    <w:rsid w:val="00540FE1"/>
    <w:rsid w:val="0056205C"/>
    <w:rsid w:val="005B609B"/>
    <w:rsid w:val="005B6C45"/>
    <w:rsid w:val="005D621D"/>
    <w:rsid w:val="006102CF"/>
    <w:rsid w:val="00625FB7"/>
    <w:rsid w:val="006A72BB"/>
    <w:rsid w:val="0070185F"/>
    <w:rsid w:val="00716E07"/>
    <w:rsid w:val="00717EEC"/>
    <w:rsid w:val="00732C6D"/>
    <w:rsid w:val="00767F9E"/>
    <w:rsid w:val="00775E84"/>
    <w:rsid w:val="007A5675"/>
    <w:rsid w:val="007D6714"/>
    <w:rsid w:val="007D6B7C"/>
    <w:rsid w:val="007E4E34"/>
    <w:rsid w:val="0080274C"/>
    <w:rsid w:val="00802832"/>
    <w:rsid w:val="0081402B"/>
    <w:rsid w:val="0083238B"/>
    <w:rsid w:val="00833B10"/>
    <w:rsid w:val="008377A9"/>
    <w:rsid w:val="00840401"/>
    <w:rsid w:val="00863D83"/>
    <w:rsid w:val="0089016C"/>
    <w:rsid w:val="00893028"/>
    <w:rsid w:val="008935F0"/>
    <w:rsid w:val="008D3CAC"/>
    <w:rsid w:val="008D6311"/>
    <w:rsid w:val="008F04FC"/>
    <w:rsid w:val="008F52CD"/>
    <w:rsid w:val="0090156D"/>
    <w:rsid w:val="00902A6A"/>
    <w:rsid w:val="00913C83"/>
    <w:rsid w:val="00934D10"/>
    <w:rsid w:val="0096662D"/>
    <w:rsid w:val="00980CAB"/>
    <w:rsid w:val="009A6D39"/>
    <w:rsid w:val="009B16C4"/>
    <w:rsid w:val="009C54EE"/>
    <w:rsid w:val="009E0BE2"/>
    <w:rsid w:val="009E5B6B"/>
    <w:rsid w:val="009E734C"/>
    <w:rsid w:val="009F6F3F"/>
    <w:rsid w:val="00A0179E"/>
    <w:rsid w:val="00A141B0"/>
    <w:rsid w:val="00A5137E"/>
    <w:rsid w:val="00A71644"/>
    <w:rsid w:val="00AA603C"/>
    <w:rsid w:val="00AB30EA"/>
    <w:rsid w:val="00AB7081"/>
    <w:rsid w:val="00B179FA"/>
    <w:rsid w:val="00B233A7"/>
    <w:rsid w:val="00B429E2"/>
    <w:rsid w:val="00B659EE"/>
    <w:rsid w:val="00B66D66"/>
    <w:rsid w:val="00B678F4"/>
    <w:rsid w:val="00B7290C"/>
    <w:rsid w:val="00B7511A"/>
    <w:rsid w:val="00B81B8C"/>
    <w:rsid w:val="00BA628D"/>
    <w:rsid w:val="00BC5A8D"/>
    <w:rsid w:val="00BD27B4"/>
    <w:rsid w:val="00BD4497"/>
    <w:rsid w:val="00C25850"/>
    <w:rsid w:val="00C27429"/>
    <w:rsid w:val="00C47203"/>
    <w:rsid w:val="00C71E73"/>
    <w:rsid w:val="00C7528C"/>
    <w:rsid w:val="00C81337"/>
    <w:rsid w:val="00C90CAD"/>
    <w:rsid w:val="00CA19AE"/>
    <w:rsid w:val="00CB3C3A"/>
    <w:rsid w:val="00CC7C8E"/>
    <w:rsid w:val="00CE594F"/>
    <w:rsid w:val="00D304A5"/>
    <w:rsid w:val="00D30818"/>
    <w:rsid w:val="00D47399"/>
    <w:rsid w:val="00D80DD0"/>
    <w:rsid w:val="00D9327A"/>
    <w:rsid w:val="00DB13A6"/>
    <w:rsid w:val="00DC1436"/>
    <w:rsid w:val="00DC6EB2"/>
    <w:rsid w:val="00E03C99"/>
    <w:rsid w:val="00E325C1"/>
    <w:rsid w:val="00E831C0"/>
    <w:rsid w:val="00EB022F"/>
    <w:rsid w:val="00EC4606"/>
    <w:rsid w:val="00ED4E37"/>
    <w:rsid w:val="00EE5D2F"/>
    <w:rsid w:val="00EF30E1"/>
    <w:rsid w:val="00F03D1B"/>
    <w:rsid w:val="00F10DE1"/>
    <w:rsid w:val="00F12008"/>
    <w:rsid w:val="00F164B8"/>
    <w:rsid w:val="00F368AF"/>
    <w:rsid w:val="00F472E6"/>
    <w:rsid w:val="00F64D9B"/>
    <w:rsid w:val="00F87387"/>
    <w:rsid w:val="00FA3A61"/>
    <w:rsid w:val="00FA3F4C"/>
    <w:rsid w:val="00FD3061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Celia Price</cp:lastModifiedBy>
  <cp:revision>5</cp:revision>
  <cp:lastPrinted>2020-11-19T19:14:00Z</cp:lastPrinted>
  <dcterms:created xsi:type="dcterms:W3CDTF">2022-02-21T15:31:00Z</dcterms:created>
  <dcterms:modified xsi:type="dcterms:W3CDTF">2022-04-06T11:58:00Z</dcterms:modified>
</cp:coreProperties>
</file>