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F423" w14:textId="5D8E1305" w:rsidR="000D4069" w:rsidRDefault="000D4069" w:rsidP="003327D5"/>
    <w:p w14:paraId="2E7C9CFB" w14:textId="72967322" w:rsidR="009C6910" w:rsidRDefault="009C6910" w:rsidP="003327D5"/>
    <w:p w14:paraId="7BED0A1A" w14:textId="38F49A4C" w:rsidR="009C6910" w:rsidRDefault="009C6910" w:rsidP="009C6910">
      <w:pPr>
        <w:jc w:val="center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  <w:r w:rsidRPr="009C6910">
        <w:rPr>
          <w:rFonts w:asciiTheme="minorHAnsi" w:hAnsiTheme="minorHAnsi" w:cstheme="minorHAnsi"/>
          <w:b/>
          <w:bCs/>
          <w:color w:val="009999"/>
          <w:sz w:val="28"/>
          <w:szCs w:val="28"/>
        </w:rPr>
        <w:t>Clerk and Responsible Finance Officer</w:t>
      </w:r>
    </w:p>
    <w:p w14:paraId="10CBDAFD" w14:textId="4FA96EC5" w:rsidR="009C6910" w:rsidRPr="009C6910" w:rsidRDefault="009C6910" w:rsidP="009C6910">
      <w:pPr>
        <w:jc w:val="center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  <w:r w:rsidRPr="009C6910">
        <w:rPr>
          <w:rFonts w:asciiTheme="minorHAnsi" w:hAnsiTheme="minorHAnsi" w:cstheme="minorHAnsi"/>
          <w:b/>
          <w:bCs/>
          <w:color w:val="009999"/>
          <w:sz w:val="28"/>
          <w:szCs w:val="28"/>
        </w:rPr>
        <w:t>Person Specification</w:t>
      </w:r>
    </w:p>
    <w:p w14:paraId="54236DC7" w14:textId="6E3740EF" w:rsidR="009C6910" w:rsidRDefault="009C6910" w:rsidP="003327D5"/>
    <w:p w14:paraId="58C30244" w14:textId="77777777" w:rsidR="009C6910" w:rsidRDefault="009C6910" w:rsidP="003327D5"/>
    <w:p w14:paraId="59E1F373" w14:textId="4C456B9A" w:rsidR="009C6910" w:rsidRDefault="009C6910" w:rsidP="00332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4"/>
        <w:gridCol w:w="1229"/>
        <w:gridCol w:w="1233"/>
      </w:tblGrid>
      <w:tr w:rsidR="009C6910" w:rsidRPr="009C6910" w14:paraId="0ADF0092" w14:textId="77777777" w:rsidTr="009C6910">
        <w:tc>
          <w:tcPr>
            <w:tcW w:w="6554" w:type="dxa"/>
            <w:shd w:val="clear" w:color="auto" w:fill="DAEFD3" w:themeFill="accent1" w:themeFillTint="33"/>
          </w:tcPr>
          <w:p w14:paraId="448FA510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Education and qualifications</w:t>
            </w:r>
          </w:p>
        </w:tc>
        <w:tc>
          <w:tcPr>
            <w:tcW w:w="1229" w:type="dxa"/>
            <w:shd w:val="clear" w:color="auto" w:fill="DAEFD3" w:themeFill="accent1" w:themeFillTint="33"/>
          </w:tcPr>
          <w:p w14:paraId="55BC233D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Essential</w:t>
            </w:r>
          </w:p>
        </w:tc>
        <w:tc>
          <w:tcPr>
            <w:tcW w:w="1233" w:type="dxa"/>
            <w:shd w:val="clear" w:color="auto" w:fill="DAEFD3" w:themeFill="accent1" w:themeFillTint="33"/>
          </w:tcPr>
          <w:p w14:paraId="2DA0BF7E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Desirable</w:t>
            </w:r>
          </w:p>
        </w:tc>
      </w:tr>
      <w:tr w:rsidR="009C6910" w:rsidRPr="009C6910" w14:paraId="3C8C97A4" w14:textId="77777777" w:rsidTr="009C6910">
        <w:tc>
          <w:tcPr>
            <w:tcW w:w="6554" w:type="dxa"/>
          </w:tcPr>
          <w:p w14:paraId="28259292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CiLCA</w:t>
            </w:r>
            <w:proofErr w:type="spellEnd"/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 xml:space="preserve"> (or higher comparable qualification) held; or</w:t>
            </w:r>
          </w:p>
          <w:p w14:paraId="4474A0FD" w14:textId="121F1880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Prepared to study towards completion within 1</w:t>
            </w:r>
            <w:r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2</w:t>
            </w: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 xml:space="preserve"> months of commencement</w:t>
            </w:r>
          </w:p>
        </w:tc>
        <w:tc>
          <w:tcPr>
            <w:tcW w:w="1229" w:type="dxa"/>
          </w:tcPr>
          <w:p w14:paraId="4950DB5B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  <w:p w14:paraId="3DFC1CE8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  <w:tc>
          <w:tcPr>
            <w:tcW w:w="1233" w:type="dxa"/>
          </w:tcPr>
          <w:p w14:paraId="0BEDCAE0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</w:tr>
      <w:tr w:rsidR="009C6910" w:rsidRPr="009C6910" w14:paraId="1D053483" w14:textId="77777777" w:rsidTr="009C6910">
        <w:tc>
          <w:tcPr>
            <w:tcW w:w="6554" w:type="dxa"/>
          </w:tcPr>
          <w:p w14:paraId="78A2451E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Other management and/or financial qualifications held</w:t>
            </w:r>
          </w:p>
        </w:tc>
        <w:tc>
          <w:tcPr>
            <w:tcW w:w="1229" w:type="dxa"/>
          </w:tcPr>
          <w:p w14:paraId="0442883D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33" w:type="dxa"/>
          </w:tcPr>
          <w:p w14:paraId="077134DA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</w:tr>
      <w:tr w:rsidR="009C6910" w:rsidRPr="009C6910" w14:paraId="5633F061" w14:textId="77777777" w:rsidTr="009C6910">
        <w:tc>
          <w:tcPr>
            <w:tcW w:w="6554" w:type="dxa"/>
          </w:tcPr>
          <w:p w14:paraId="6BBC4A99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Commitment to continuing professional development</w:t>
            </w:r>
          </w:p>
        </w:tc>
        <w:tc>
          <w:tcPr>
            <w:tcW w:w="1229" w:type="dxa"/>
          </w:tcPr>
          <w:p w14:paraId="3186B496" w14:textId="2F214D4F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33" w:type="dxa"/>
          </w:tcPr>
          <w:p w14:paraId="17CAB2A4" w14:textId="4F05DDF8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</w:tr>
      <w:tr w:rsidR="009C6910" w:rsidRPr="009C6910" w14:paraId="23D12ACF" w14:textId="77777777" w:rsidTr="009C6910">
        <w:tc>
          <w:tcPr>
            <w:tcW w:w="6554" w:type="dxa"/>
            <w:shd w:val="clear" w:color="auto" w:fill="DAEFD3" w:themeFill="accent1" w:themeFillTint="33"/>
          </w:tcPr>
          <w:p w14:paraId="219998ED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Experience</w:t>
            </w:r>
          </w:p>
        </w:tc>
        <w:tc>
          <w:tcPr>
            <w:tcW w:w="1229" w:type="dxa"/>
            <w:shd w:val="clear" w:color="auto" w:fill="DAEFD3" w:themeFill="accent1" w:themeFillTint="33"/>
          </w:tcPr>
          <w:p w14:paraId="1C8C6DDA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33" w:type="dxa"/>
            <w:shd w:val="clear" w:color="auto" w:fill="DAEFD3" w:themeFill="accent1" w:themeFillTint="33"/>
          </w:tcPr>
          <w:p w14:paraId="525F0F0C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6910" w:rsidRPr="009C6910" w14:paraId="1CB31A0D" w14:textId="77777777" w:rsidTr="009C6910">
        <w:tc>
          <w:tcPr>
            <w:tcW w:w="6554" w:type="dxa"/>
          </w:tcPr>
          <w:p w14:paraId="2A640CCF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Previous experience working within the Parish Council sector</w:t>
            </w:r>
          </w:p>
        </w:tc>
        <w:tc>
          <w:tcPr>
            <w:tcW w:w="1229" w:type="dxa"/>
          </w:tcPr>
          <w:p w14:paraId="5B4C3139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33" w:type="dxa"/>
          </w:tcPr>
          <w:p w14:paraId="15093140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</w:tr>
      <w:tr w:rsidR="009C6910" w:rsidRPr="009C6910" w14:paraId="2ED097FD" w14:textId="77777777" w:rsidTr="009C6910">
        <w:tc>
          <w:tcPr>
            <w:tcW w:w="6554" w:type="dxa"/>
          </w:tcPr>
          <w:p w14:paraId="1DFB283C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Previous experience working in the local government sector</w:t>
            </w:r>
          </w:p>
        </w:tc>
        <w:tc>
          <w:tcPr>
            <w:tcW w:w="1229" w:type="dxa"/>
          </w:tcPr>
          <w:p w14:paraId="47435286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  <w:tc>
          <w:tcPr>
            <w:tcW w:w="1233" w:type="dxa"/>
          </w:tcPr>
          <w:p w14:paraId="7CC1B884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6910" w:rsidRPr="009C6910" w14:paraId="5634149D" w14:textId="77777777" w:rsidTr="009C6910">
        <w:tc>
          <w:tcPr>
            <w:tcW w:w="6554" w:type="dxa"/>
            <w:shd w:val="clear" w:color="auto" w:fill="auto"/>
          </w:tcPr>
          <w:p w14:paraId="13639E74" w14:textId="3EA06810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Experience in</w:t>
            </w:r>
            <w:r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 xml:space="preserve"> working with and supervising a team</w:t>
            </w:r>
          </w:p>
        </w:tc>
        <w:tc>
          <w:tcPr>
            <w:tcW w:w="1229" w:type="dxa"/>
            <w:shd w:val="clear" w:color="auto" w:fill="auto"/>
          </w:tcPr>
          <w:p w14:paraId="6FC27DF0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33" w:type="dxa"/>
            <w:shd w:val="clear" w:color="auto" w:fill="auto"/>
          </w:tcPr>
          <w:p w14:paraId="13664A10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</w:tr>
      <w:tr w:rsidR="009C6910" w:rsidRPr="009C6910" w14:paraId="297B96FC" w14:textId="77777777" w:rsidTr="009C6910">
        <w:tc>
          <w:tcPr>
            <w:tcW w:w="6554" w:type="dxa"/>
            <w:shd w:val="clear" w:color="auto" w:fill="auto"/>
          </w:tcPr>
          <w:p w14:paraId="2707ABD8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Competent in writing agendas and taking minutes of meetings</w:t>
            </w:r>
          </w:p>
        </w:tc>
        <w:tc>
          <w:tcPr>
            <w:tcW w:w="1229" w:type="dxa"/>
            <w:shd w:val="clear" w:color="auto" w:fill="auto"/>
          </w:tcPr>
          <w:p w14:paraId="6C584B04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  <w:tc>
          <w:tcPr>
            <w:tcW w:w="1233" w:type="dxa"/>
            <w:shd w:val="clear" w:color="auto" w:fill="auto"/>
          </w:tcPr>
          <w:p w14:paraId="1242D895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6910" w:rsidRPr="009C6910" w14:paraId="0B65545F" w14:textId="77777777" w:rsidTr="009C6910">
        <w:tc>
          <w:tcPr>
            <w:tcW w:w="6554" w:type="dxa"/>
            <w:shd w:val="clear" w:color="auto" w:fill="auto"/>
          </w:tcPr>
          <w:p w14:paraId="055C06A2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Project management experience</w:t>
            </w:r>
          </w:p>
        </w:tc>
        <w:tc>
          <w:tcPr>
            <w:tcW w:w="1229" w:type="dxa"/>
            <w:shd w:val="clear" w:color="auto" w:fill="auto"/>
          </w:tcPr>
          <w:p w14:paraId="36773A76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33" w:type="dxa"/>
            <w:shd w:val="clear" w:color="auto" w:fill="auto"/>
          </w:tcPr>
          <w:p w14:paraId="170A90E5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</w:tr>
      <w:tr w:rsidR="009C6910" w:rsidRPr="009C6910" w14:paraId="0B7BDDD5" w14:textId="77777777" w:rsidTr="009C6910">
        <w:tc>
          <w:tcPr>
            <w:tcW w:w="6554" w:type="dxa"/>
            <w:shd w:val="clear" w:color="auto" w:fill="DAEFD3" w:themeFill="accent1" w:themeFillTint="33"/>
          </w:tcPr>
          <w:p w14:paraId="4962764F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Skills and knowledge</w:t>
            </w:r>
          </w:p>
        </w:tc>
        <w:tc>
          <w:tcPr>
            <w:tcW w:w="1229" w:type="dxa"/>
            <w:shd w:val="clear" w:color="auto" w:fill="DAEFD3" w:themeFill="accent1" w:themeFillTint="33"/>
          </w:tcPr>
          <w:p w14:paraId="61619E92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33" w:type="dxa"/>
            <w:shd w:val="clear" w:color="auto" w:fill="DAEFD3" w:themeFill="accent1" w:themeFillTint="33"/>
          </w:tcPr>
          <w:p w14:paraId="790D3A20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6910" w:rsidRPr="009C6910" w14:paraId="5E81050D" w14:textId="77777777" w:rsidTr="009C6910">
        <w:tc>
          <w:tcPr>
            <w:tcW w:w="6554" w:type="dxa"/>
          </w:tcPr>
          <w:p w14:paraId="29F9DFC4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Competent user of the Rialtas Business Solutions (RBS) accounting software</w:t>
            </w:r>
          </w:p>
        </w:tc>
        <w:tc>
          <w:tcPr>
            <w:tcW w:w="1229" w:type="dxa"/>
          </w:tcPr>
          <w:p w14:paraId="720A1C32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33" w:type="dxa"/>
          </w:tcPr>
          <w:p w14:paraId="08E89AA3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</w:tr>
      <w:tr w:rsidR="009C6910" w:rsidRPr="009C6910" w14:paraId="617A7E89" w14:textId="77777777" w:rsidTr="009C6910">
        <w:tc>
          <w:tcPr>
            <w:tcW w:w="6554" w:type="dxa"/>
          </w:tcPr>
          <w:p w14:paraId="512EADE5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Ability to manage budgets</w:t>
            </w:r>
          </w:p>
        </w:tc>
        <w:tc>
          <w:tcPr>
            <w:tcW w:w="1229" w:type="dxa"/>
          </w:tcPr>
          <w:p w14:paraId="06D20F6C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  <w:tc>
          <w:tcPr>
            <w:tcW w:w="1233" w:type="dxa"/>
          </w:tcPr>
          <w:p w14:paraId="43A664EC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6910" w:rsidRPr="009C6910" w14:paraId="06160482" w14:textId="77777777" w:rsidTr="009C6910">
        <w:tc>
          <w:tcPr>
            <w:tcW w:w="6554" w:type="dxa"/>
          </w:tcPr>
          <w:p w14:paraId="33552E94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 xml:space="preserve">Use of Microsoft 365 Office </w:t>
            </w:r>
          </w:p>
        </w:tc>
        <w:tc>
          <w:tcPr>
            <w:tcW w:w="1229" w:type="dxa"/>
          </w:tcPr>
          <w:p w14:paraId="65E8B150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  <w:tc>
          <w:tcPr>
            <w:tcW w:w="1233" w:type="dxa"/>
          </w:tcPr>
          <w:p w14:paraId="2AE74A31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6910" w:rsidRPr="009C6910" w14:paraId="65D7630D" w14:textId="77777777" w:rsidTr="009C6910">
        <w:tc>
          <w:tcPr>
            <w:tcW w:w="6554" w:type="dxa"/>
          </w:tcPr>
          <w:p w14:paraId="15B7A660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Ability to prioritise and manage workloads</w:t>
            </w:r>
          </w:p>
        </w:tc>
        <w:tc>
          <w:tcPr>
            <w:tcW w:w="1229" w:type="dxa"/>
          </w:tcPr>
          <w:p w14:paraId="41767EBA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  <w:tc>
          <w:tcPr>
            <w:tcW w:w="1233" w:type="dxa"/>
          </w:tcPr>
          <w:p w14:paraId="79E874D7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81E1B" w:rsidRPr="009C6910" w14:paraId="5EB47774" w14:textId="77777777" w:rsidTr="009C6910">
        <w:tc>
          <w:tcPr>
            <w:tcW w:w="6554" w:type="dxa"/>
          </w:tcPr>
          <w:p w14:paraId="52E2AB03" w14:textId="4A40596B" w:rsidR="00F81E1B" w:rsidRPr="009C6910" w:rsidRDefault="00F81E1B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 xml:space="preserve">Good organisational skills </w:t>
            </w:r>
          </w:p>
        </w:tc>
        <w:tc>
          <w:tcPr>
            <w:tcW w:w="1229" w:type="dxa"/>
          </w:tcPr>
          <w:p w14:paraId="5CC76496" w14:textId="0B3CCCDA" w:rsidR="00F81E1B" w:rsidRPr="009C6910" w:rsidRDefault="00F81E1B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  <w:tc>
          <w:tcPr>
            <w:tcW w:w="1233" w:type="dxa"/>
          </w:tcPr>
          <w:p w14:paraId="686AA7CE" w14:textId="77777777" w:rsidR="00F81E1B" w:rsidRPr="009C6910" w:rsidRDefault="00F81E1B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6910" w:rsidRPr="009C6910" w14:paraId="5C827BAE" w14:textId="77777777" w:rsidTr="009C6910">
        <w:tc>
          <w:tcPr>
            <w:tcW w:w="6554" w:type="dxa"/>
          </w:tcPr>
          <w:p w14:paraId="12FFC8CF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Excellent written and oral communication skills</w:t>
            </w:r>
          </w:p>
        </w:tc>
        <w:tc>
          <w:tcPr>
            <w:tcW w:w="1229" w:type="dxa"/>
          </w:tcPr>
          <w:p w14:paraId="79C773EE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  <w:tc>
          <w:tcPr>
            <w:tcW w:w="1233" w:type="dxa"/>
          </w:tcPr>
          <w:p w14:paraId="73B75D48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81E1B" w:rsidRPr="009C6910" w14:paraId="05EE945F" w14:textId="77777777" w:rsidTr="009C6910">
        <w:tc>
          <w:tcPr>
            <w:tcW w:w="6554" w:type="dxa"/>
          </w:tcPr>
          <w:p w14:paraId="1C5E53FD" w14:textId="64AD7E25" w:rsidR="00F81E1B" w:rsidRPr="009C6910" w:rsidRDefault="00F81E1B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Ability to communicate effectively with a wide range of people including the public and other organisations</w:t>
            </w:r>
          </w:p>
        </w:tc>
        <w:tc>
          <w:tcPr>
            <w:tcW w:w="1229" w:type="dxa"/>
          </w:tcPr>
          <w:p w14:paraId="69C8DB29" w14:textId="368B8E74" w:rsidR="00F81E1B" w:rsidRPr="009C6910" w:rsidRDefault="00F81E1B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  <w:tc>
          <w:tcPr>
            <w:tcW w:w="1233" w:type="dxa"/>
          </w:tcPr>
          <w:p w14:paraId="598CB452" w14:textId="77777777" w:rsidR="00F81E1B" w:rsidRPr="009C6910" w:rsidRDefault="00F81E1B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C6910" w:rsidRPr="009C6910" w14:paraId="3E7B187C" w14:textId="77777777" w:rsidTr="009C6910">
        <w:tc>
          <w:tcPr>
            <w:tcW w:w="6554" w:type="dxa"/>
          </w:tcPr>
          <w:p w14:paraId="14CFAB0A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Cs/>
                <w:iCs/>
                <w:kern w:val="0"/>
                <w:sz w:val="22"/>
                <w:szCs w:val="22"/>
                <w:lang w:eastAsia="en-US" w:bidi="ar-SA"/>
              </w:rPr>
              <w:t>Hold a UK driving licence and has access to a car for use at work</w:t>
            </w:r>
          </w:p>
        </w:tc>
        <w:tc>
          <w:tcPr>
            <w:tcW w:w="1229" w:type="dxa"/>
          </w:tcPr>
          <w:p w14:paraId="7DE15687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33" w:type="dxa"/>
          </w:tcPr>
          <w:p w14:paraId="48C16637" w14:textId="77777777" w:rsidR="009C6910" w:rsidRPr="009C6910" w:rsidRDefault="009C6910" w:rsidP="009C6910">
            <w:pPr>
              <w:suppressAutoHyphens w:val="0"/>
              <w:autoSpaceDE w:val="0"/>
              <w:autoSpaceDN w:val="0"/>
              <w:spacing w:before="1"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9C6910">
              <w:rPr>
                <w:rFonts w:asciiTheme="minorHAnsi" w:eastAsia="Calibri" w:hAnsiTheme="minorHAnsi" w:cstheme="minorHAnsi"/>
                <w:b/>
                <w:i/>
                <w:kern w:val="0"/>
                <w:sz w:val="22"/>
                <w:szCs w:val="22"/>
                <w:lang w:eastAsia="en-US" w:bidi="ar-SA"/>
              </w:rPr>
              <w:t>√</w:t>
            </w:r>
          </w:p>
        </w:tc>
      </w:tr>
    </w:tbl>
    <w:p w14:paraId="1E3DD135" w14:textId="77777777" w:rsidR="009C6910" w:rsidRPr="003327D5" w:rsidRDefault="009C6910" w:rsidP="003327D5"/>
    <w:sectPr w:rsidR="009C6910" w:rsidRPr="003327D5" w:rsidSect="00B42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91CF" w14:textId="77777777" w:rsidR="00D457E0" w:rsidRDefault="00D457E0" w:rsidP="007A5675">
      <w:r>
        <w:separator/>
      </w:r>
    </w:p>
  </w:endnote>
  <w:endnote w:type="continuationSeparator" w:id="0">
    <w:p w14:paraId="4B376B61" w14:textId="77777777" w:rsidR="00D457E0" w:rsidRDefault="00D457E0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338A" w14:textId="77777777" w:rsidR="00972BF9" w:rsidRDefault="00972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3E0EC6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Telephone: 01903 816911 </w:t>
                          </w:r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B542C3">
                              <w:rPr>
                                <w:rStyle w:val="Hyperlink"/>
                                <w:color w:val="FFFFFF" w:themeColor="background1"/>
                                <w:sz w:val="20"/>
                                <w:szCs w:val="20"/>
                              </w:rPr>
                              <w:t>clerk@upperbeeding-pc.gov.uk</w:t>
                            </w:r>
                          </w:hyperlink>
                          <w:r w:rsidRPr="00B542C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Website: www.upperbeeding-pc.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3E0EC6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 xml:space="preserve">Telephone: 01903 816911 </w:t>
                    </w:r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ab/>
                      <w:t xml:space="preserve">email: </w:t>
                    </w:r>
                    <w:hyperlink r:id="rId2" w:history="1">
                      <w:r w:rsidRPr="00B542C3">
                        <w:rPr>
                          <w:rStyle w:val="Hyperlink"/>
                          <w:color w:val="FFFFFF" w:themeColor="background1"/>
                          <w:sz w:val="20"/>
                          <w:szCs w:val="20"/>
                        </w:rPr>
                        <w:t>clerk@upperbeeding-pc.gov.uk</w:t>
                      </w:r>
                    </w:hyperlink>
                    <w:r w:rsidRPr="00B542C3">
                      <w:rPr>
                        <w:color w:val="FFFFFF" w:themeColor="background1"/>
                        <w:sz w:val="20"/>
                        <w:szCs w:val="20"/>
                      </w:rPr>
                      <w:tab/>
                      <w:t>Website: www.upperbeeding-pc.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  <w:szCs w:val="20"/>
      </w:rPr>
    </w:pPr>
    <w:r>
      <w:rPr>
        <w:b/>
        <w:bCs/>
        <w:color w:val="FFFFFF" w:themeColor="background1"/>
        <w:sz w:val="20"/>
        <w:szCs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7660" cy="6781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6781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972BF9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972BF9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Telephone: 01903 816911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vtFgIAACYEAAAOAAAAZHJzL2Uyb0RvYy54bWysU9uO2yAQfa/Uf0C8N3aiXK04q222W1Xa&#10;XqRtPwADjlExQ4HETr++A/Zmo23Vh6q2hBgGzsycObO96VtNTtJ5Baak00lOiTQchDKHkn77ev9m&#10;TYkPzAimwciSnqWnN7vXr7adLeQMGtBCOoIgxhedLWkTgi2yzPNGtsxPwEqDzhpcywKa7pAJxzpE&#10;b3U2y/Nl1oET1gGX3uPp3eCku4Rf15KHz3XtZSC6pJhbSKtLaxXXbLdlxcEx2yg+psH+IYuWKYNB&#10;L1B3LDBydOo3qFZxBx7qMOHQZlDXistUA1YzzV9U89gwK1MtSI63F5r8/4Pln06P9osjoX8LPTYw&#10;FeHtA/DvnhjYN8wc5K1z0DWSCQw8jZRlnfXF+DRS7QsfQaruIwhsMjsGSEB97drICtZJEB0bcL6Q&#10;LvtAOB6uNvPVcokujr7laj1dp65krHh6bZ0P7yW0JG5K6rCpCZ2dHnyI2bDi6UoM5kErca+0ToY7&#10;VHvtyIlFAeRr/FMBL65pQ7qSbhazxUDAXyBy/P4E0aqAStaqLek63hm1FWl7Z0TSWWBKD3tMWZuR&#10;x0jdQGLoq54oUdJZDBBprUCckVgHg3Bx0HDTgPtJSYeiLan/cWROUqI/GGzOZjqfR5UnY75YzdBw&#10;157q2sMMR6iSBkqG7T6kyYi8GbjFJtYq8fucyZgyijHRPg5OVPu1nW49j/fuFwAAAP//AwBQSwME&#10;FAAGAAgAAAAhABXGeefgAAAACwEAAA8AAABkcnMvZG93bnJldi54bWxMj81qwzAQhO+FvoPYQm+J&#10;/EcaHMuhLQRKb0lamqNibW0TaWUkJXbevsqpuc0yw+w31Xoyml3Q+d6SgHSeAENqrOqpFfC138yW&#10;wHyQpKS2hAKu6GFdPz5UslR2pC1edqFlsYR8KQV0IQwl577p0Eg/twNS9H6tMzLE07VcOTnGcqN5&#10;liQLbmRP8UMnB3zvsDntzkZA9r3PT1vXDMXbx8Zex4P++dSpEM9P0+sKWMAp/Ifhhh/RoY5MR3sm&#10;5ZkWMEuXcUsQUCQ5sFsgy/MFsGNUxUsKvK74/Yb6DwAA//8DAFBLAQItABQABgAIAAAAIQC2gziS&#10;/gAAAOEBAAATAAAAAAAAAAAAAAAAAAAAAABbQ29udGVudF9UeXBlc10ueG1sUEsBAi0AFAAGAAgA&#10;AAAhADj9If/WAAAAlAEAAAsAAAAAAAAAAAAAAAAALwEAAF9yZWxzLy5yZWxzUEsBAi0AFAAGAAgA&#10;AAAhABkT6+0WAgAAJgQAAA4AAAAAAAAAAAAAAAAALgIAAGRycy9lMm9Eb2MueG1sUEsBAi0AFAAG&#10;AAgAAAAhABXGeefgAAAACwEAAA8AAAAAAAAAAAAAAAAAcAQAAGRycy9kb3ducmV2LnhtbFBLBQYA&#10;AAAABAAEAPMAAAB9BQAAAAA=&#10;" fillcolor="teal">
              <v:textbox>
                <w:txbxContent>
                  <w:p w14:paraId="2F663BB1" w14:textId="77777777" w:rsidR="00833B10" w:rsidRPr="00972BF9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972BF9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 xml:space="preserve">Telephone: 01903 816911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ab/>
                      <w:t xml:space="preserve">email: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  <w:szCs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BD9D" w14:textId="77777777" w:rsidR="00D457E0" w:rsidRDefault="00D457E0" w:rsidP="007A5675">
      <w:r>
        <w:separator/>
      </w:r>
    </w:p>
  </w:footnote>
  <w:footnote w:type="continuationSeparator" w:id="0">
    <w:p w14:paraId="040211DD" w14:textId="77777777" w:rsidR="00D457E0" w:rsidRDefault="00D457E0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6B38" w14:textId="77777777" w:rsidR="00972BF9" w:rsidRDefault="00972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3A5E" w14:textId="77777777" w:rsidR="00972BF9" w:rsidRDefault="00972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972BF9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972BF9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72BF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7051050">
    <w:abstractNumId w:val="12"/>
  </w:num>
  <w:num w:numId="2" w16cid:durableId="343941841">
    <w:abstractNumId w:val="9"/>
  </w:num>
  <w:num w:numId="3" w16cid:durableId="1656373621">
    <w:abstractNumId w:val="9"/>
  </w:num>
  <w:num w:numId="4" w16cid:durableId="1008295302">
    <w:abstractNumId w:val="11"/>
  </w:num>
  <w:num w:numId="5" w16cid:durableId="1542404674">
    <w:abstractNumId w:val="7"/>
  </w:num>
  <w:num w:numId="6" w16cid:durableId="72748025">
    <w:abstractNumId w:val="0"/>
  </w:num>
  <w:num w:numId="7" w16cid:durableId="224993540">
    <w:abstractNumId w:val="14"/>
  </w:num>
  <w:num w:numId="8" w16cid:durableId="1579830660">
    <w:abstractNumId w:val="0"/>
  </w:num>
  <w:num w:numId="9" w16cid:durableId="274485250">
    <w:abstractNumId w:val="10"/>
  </w:num>
  <w:num w:numId="10" w16cid:durableId="1469782987">
    <w:abstractNumId w:val="4"/>
  </w:num>
  <w:num w:numId="11" w16cid:durableId="1650742590">
    <w:abstractNumId w:val="6"/>
  </w:num>
  <w:num w:numId="12" w16cid:durableId="1099519420">
    <w:abstractNumId w:val="3"/>
  </w:num>
  <w:num w:numId="13" w16cid:durableId="1365982504">
    <w:abstractNumId w:val="8"/>
  </w:num>
  <w:num w:numId="14" w16cid:durableId="1889993768">
    <w:abstractNumId w:val="13"/>
  </w:num>
  <w:num w:numId="15" w16cid:durableId="170263304">
    <w:abstractNumId w:val="2"/>
  </w:num>
  <w:num w:numId="16" w16cid:durableId="1702781521">
    <w:abstractNumId w:val="15"/>
  </w:num>
  <w:num w:numId="17" w16cid:durableId="1521580449">
    <w:abstractNumId w:val="16"/>
  </w:num>
  <w:num w:numId="18" w16cid:durableId="421222431">
    <w:abstractNumId w:val="5"/>
  </w:num>
  <w:num w:numId="19" w16cid:durableId="328213804">
    <w:abstractNumId w:val="1"/>
  </w:num>
  <w:num w:numId="20" w16cid:durableId="2070690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503A1"/>
    <w:rsid w:val="00055D95"/>
    <w:rsid w:val="00057450"/>
    <w:rsid w:val="000663BB"/>
    <w:rsid w:val="0006758A"/>
    <w:rsid w:val="00071252"/>
    <w:rsid w:val="000A19F6"/>
    <w:rsid w:val="000D4069"/>
    <w:rsid w:val="000D4A5C"/>
    <w:rsid w:val="00103820"/>
    <w:rsid w:val="001309B8"/>
    <w:rsid w:val="001455DB"/>
    <w:rsid w:val="00177D13"/>
    <w:rsid w:val="001C3572"/>
    <w:rsid w:val="001D46A3"/>
    <w:rsid w:val="002036A1"/>
    <w:rsid w:val="002037F7"/>
    <w:rsid w:val="00214AB5"/>
    <w:rsid w:val="00230AE5"/>
    <w:rsid w:val="00257F40"/>
    <w:rsid w:val="002D77AB"/>
    <w:rsid w:val="00316564"/>
    <w:rsid w:val="003327D5"/>
    <w:rsid w:val="00355216"/>
    <w:rsid w:val="003659BC"/>
    <w:rsid w:val="00377A92"/>
    <w:rsid w:val="00385A24"/>
    <w:rsid w:val="003871C4"/>
    <w:rsid w:val="00395D3D"/>
    <w:rsid w:val="003C1D59"/>
    <w:rsid w:val="003E172C"/>
    <w:rsid w:val="003E2C01"/>
    <w:rsid w:val="003F1AE8"/>
    <w:rsid w:val="00407A5B"/>
    <w:rsid w:val="0043494C"/>
    <w:rsid w:val="00503575"/>
    <w:rsid w:val="005119E1"/>
    <w:rsid w:val="00533256"/>
    <w:rsid w:val="0056205C"/>
    <w:rsid w:val="005B609B"/>
    <w:rsid w:val="005B6C45"/>
    <w:rsid w:val="005D621D"/>
    <w:rsid w:val="006102CF"/>
    <w:rsid w:val="006A72BB"/>
    <w:rsid w:val="0070185F"/>
    <w:rsid w:val="00716E07"/>
    <w:rsid w:val="00717EEC"/>
    <w:rsid w:val="00732C6D"/>
    <w:rsid w:val="00767F9E"/>
    <w:rsid w:val="007A5675"/>
    <w:rsid w:val="007D6714"/>
    <w:rsid w:val="007D6B7C"/>
    <w:rsid w:val="007E4968"/>
    <w:rsid w:val="007E4E34"/>
    <w:rsid w:val="00802832"/>
    <w:rsid w:val="0081402B"/>
    <w:rsid w:val="0083238B"/>
    <w:rsid w:val="00833B10"/>
    <w:rsid w:val="008377A9"/>
    <w:rsid w:val="0089016C"/>
    <w:rsid w:val="00893028"/>
    <w:rsid w:val="008D3CAC"/>
    <w:rsid w:val="008F52CD"/>
    <w:rsid w:val="0090156D"/>
    <w:rsid w:val="00913C83"/>
    <w:rsid w:val="00934D10"/>
    <w:rsid w:val="0096662D"/>
    <w:rsid w:val="00972BF9"/>
    <w:rsid w:val="00980CAB"/>
    <w:rsid w:val="009B16C4"/>
    <w:rsid w:val="009C54EE"/>
    <w:rsid w:val="009C6910"/>
    <w:rsid w:val="009E5B6B"/>
    <w:rsid w:val="009E734C"/>
    <w:rsid w:val="00A0179E"/>
    <w:rsid w:val="00A141B0"/>
    <w:rsid w:val="00A5137E"/>
    <w:rsid w:val="00A71644"/>
    <w:rsid w:val="00AB30EA"/>
    <w:rsid w:val="00AB7081"/>
    <w:rsid w:val="00B179FA"/>
    <w:rsid w:val="00B429E2"/>
    <w:rsid w:val="00B659EE"/>
    <w:rsid w:val="00B7290C"/>
    <w:rsid w:val="00B7511A"/>
    <w:rsid w:val="00B81B8C"/>
    <w:rsid w:val="00BA628D"/>
    <w:rsid w:val="00BC5A8D"/>
    <w:rsid w:val="00BD27B4"/>
    <w:rsid w:val="00C25850"/>
    <w:rsid w:val="00C27429"/>
    <w:rsid w:val="00C47203"/>
    <w:rsid w:val="00C7528C"/>
    <w:rsid w:val="00CB3C3A"/>
    <w:rsid w:val="00CE594F"/>
    <w:rsid w:val="00D30818"/>
    <w:rsid w:val="00D457E0"/>
    <w:rsid w:val="00D47399"/>
    <w:rsid w:val="00D80DD0"/>
    <w:rsid w:val="00D9327A"/>
    <w:rsid w:val="00DB13A6"/>
    <w:rsid w:val="00DC6EB2"/>
    <w:rsid w:val="00E03C99"/>
    <w:rsid w:val="00E325C1"/>
    <w:rsid w:val="00EB022F"/>
    <w:rsid w:val="00ED4E37"/>
    <w:rsid w:val="00EE5D2F"/>
    <w:rsid w:val="00EF30E1"/>
    <w:rsid w:val="00F03D1B"/>
    <w:rsid w:val="00F12008"/>
    <w:rsid w:val="00F368AF"/>
    <w:rsid w:val="00F472E6"/>
    <w:rsid w:val="00F64D9B"/>
    <w:rsid w:val="00F81E1B"/>
    <w:rsid w:val="00FA3A61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6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BA6906" w:themeColor="followedHyperlink"/>
      <w:u w:val="single"/>
    </w:rPr>
  </w:style>
  <w:style w:type="table" w:styleId="TableGrid">
    <w:name w:val="Table Grid"/>
    <w:basedOn w:val="TableNormal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2</cp:revision>
  <cp:lastPrinted>2020-11-19T19:14:00Z</cp:lastPrinted>
  <dcterms:created xsi:type="dcterms:W3CDTF">2022-07-01T12:13:00Z</dcterms:created>
  <dcterms:modified xsi:type="dcterms:W3CDTF">2022-07-01T12:13:00Z</dcterms:modified>
</cp:coreProperties>
</file>